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center"/>
        <w:rPr>
          <w:rFonts w:hint="default"/>
          <w:sz w:val="28"/>
        </w:rPr>
      </w:pPr>
      <w:r>
        <w:rPr>
          <w:rFonts w:hint="eastAsia"/>
          <w:sz w:val="28"/>
        </w:rPr>
        <w:t>高知県主要農作物奨励品種決定調査実施要領</w:t>
      </w:r>
    </w:p>
    <w:p>
      <w:pPr>
        <w:pStyle w:val="0"/>
        <w:spacing w:line="240" w:lineRule="auto"/>
        <w:rPr>
          <w:rFonts w:hint="default"/>
          <w:sz w:val="22"/>
        </w:rPr>
      </w:pPr>
    </w:p>
    <w:p>
      <w:pPr>
        <w:pStyle w:val="0"/>
        <w:wordWrap w:val="1"/>
        <w:spacing w:line="310" w:lineRule="exact"/>
        <w:rPr>
          <w:rFonts w:hint="default"/>
          <w:color w:val="auto"/>
          <w:sz w:val="22"/>
          <w:u w:val="none" w:color="auto"/>
        </w:rPr>
      </w:pPr>
      <w:r>
        <w:rPr>
          <w:rFonts w:hint="eastAsia"/>
          <w:color w:val="auto"/>
          <w:sz w:val="22"/>
          <w:u w:val="none" w:color="auto"/>
        </w:rPr>
        <w:t>第</w:t>
      </w:r>
      <w:r>
        <w:rPr>
          <w:rFonts w:hint="eastAsia"/>
          <w:color w:val="auto"/>
          <w:sz w:val="22"/>
          <w:u w:val="none" w:color="auto"/>
        </w:rPr>
        <w:t>1</w:t>
      </w:r>
      <w:r>
        <w:rPr>
          <w:rFonts w:hint="eastAsia"/>
          <w:color w:val="auto"/>
          <w:sz w:val="22"/>
          <w:u w:val="none" w:color="auto"/>
        </w:rPr>
        <w:t>　趣旨</w:t>
      </w:r>
    </w:p>
    <w:p>
      <w:pPr>
        <w:pStyle w:val="0"/>
        <w:wordWrap w:val="1"/>
        <w:spacing w:line="310" w:lineRule="exact"/>
        <w:ind w:left="180" w:leftChars="100" w:firstLine="200" w:firstLineChars="100"/>
        <w:rPr>
          <w:rFonts w:hint="default"/>
          <w:color w:val="auto"/>
          <w:sz w:val="22"/>
          <w:u w:val="none" w:color="auto"/>
        </w:rPr>
      </w:pPr>
      <w:r>
        <w:rPr>
          <w:rFonts w:hint="eastAsia"/>
          <w:color w:val="auto"/>
          <w:sz w:val="22"/>
          <w:u w:val="none" w:color="auto"/>
        </w:rPr>
        <w:t>高知県主要農作物種子生産要綱（平成</w:t>
      </w:r>
      <w:r>
        <w:rPr>
          <w:rFonts w:hint="eastAsia"/>
          <w:color w:val="auto"/>
          <w:sz w:val="22"/>
          <w:u w:val="none" w:color="auto"/>
        </w:rPr>
        <w:t>30</w:t>
      </w:r>
      <w:r>
        <w:rPr>
          <w:rFonts w:hint="eastAsia"/>
          <w:color w:val="auto"/>
          <w:sz w:val="22"/>
          <w:u w:val="none" w:color="auto"/>
        </w:rPr>
        <w:t>年</w:t>
      </w:r>
      <w:r>
        <w:rPr>
          <w:rFonts w:hint="eastAsia"/>
          <w:color w:val="auto"/>
          <w:sz w:val="22"/>
          <w:u w:val="none" w:color="auto"/>
        </w:rPr>
        <w:t>4</w:t>
      </w:r>
      <w:r>
        <w:rPr>
          <w:rFonts w:hint="eastAsia"/>
          <w:color w:val="auto"/>
          <w:sz w:val="22"/>
          <w:u w:val="none" w:color="auto"/>
        </w:rPr>
        <w:t>月</w:t>
      </w:r>
      <w:r>
        <w:rPr>
          <w:rFonts w:hint="eastAsia"/>
          <w:color w:val="auto"/>
          <w:sz w:val="22"/>
          <w:u w:val="none" w:color="auto"/>
        </w:rPr>
        <w:t>1</w:t>
      </w:r>
      <w:r>
        <w:rPr>
          <w:rFonts w:hint="eastAsia"/>
          <w:color w:val="auto"/>
          <w:sz w:val="22"/>
          <w:u w:val="none" w:color="auto"/>
        </w:rPr>
        <w:t>日策定、以下「要綱」という。）の第</w:t>
      </w:r>
      <w:r>
        <w:rPr>
          <w:rFonts w:hint="eastAsia"/>
          <w:color w:val="auto"/>
          <w:sz w:val="22"/>
          <w:u w:val="none" w:color="auto"/>
        </w:rPr>
        <w:t>5</w:t>
      </w:r>
      <w:r>
        <w:rPr>
          <w:rFonts w:hint="eastAsia"/>
          <w:color w:val="auto"/>
          <w:sz w:val="22"/>
          <w:u w:val="none" w:color="auto"/>
        </w:rPr>
        <w:t>条に規定する主要農作物の奨励品種決定調査（以下「調査」という。）は、この要領により実施する。</w:t>
      </w:r>
    </w:p>
    <w:p>
      <w:pPr>
        <w:pStyle w:val="0"/>
        <w:wordWrap w:val="1"/>
        <w:spacing w:line="310" w:lineRule="exact"/>
        <w:ind w:left="230" w:hanging="230" w:hangingChars="100"/>
        <w:rPr>
          <w:rFonts w:hint="default"/>
          <w:color w:val="auto"/>
          <w:sz w:val="22"/>
        </w:rPr>
      </w:pPr>
    </w:p>
    <w:p>
      <w:pPr>
        <w:pStyle w:val="0"/>
        <w:wordWrap w:val="1"/>
        <w:spacing w:line="310" w:lineRule="exact"/>
        <w:ind w:left="230" w:hanging="230" w:hangingChars="100"/>
        <w:rPr>
          <w:rFonts w:hint="default"/>
          <w:color w:val="auto"/>
          <w:sz w:val="22"/>
        </w:rPr>
      </w:pPr>
      <w:r>
        <w:rPr>
          <w:rFonts w:hint="eastAsia"/>
          <w:color w:val="auto"/>
          <w:sz w:val="22"/>
        </w:rPr>
        <w:t>第</w:t>
      </w:r>
      <w:r>
        <w:rPr>
          <w:rFonts w:hint="eastAsia"/>
          <w:color w:val="auto"/>
          <w:sz w:val="22"/>
        </w:rPr>
        <w:t>2</w:t>
      </w:r>
      <w:r>
        <w:rPr>
          <w:rFonts w:hint="eastAsia"/>
          <w:color w:val="auto"/>
          <w:sz w:val="22"/>
        </w:rPr>
        <w:t>　調査の実施主体</w:t>
      </w:r>
    </w:p>
    <w:p>
      <w:pPr>
        <w:pStyle w:val="0"/>
        <w:wordWrap w:val="1"/>
        <w:spacing w:line="310" w:lineRule="exact"/>
        <w:ind w:left="210" w:leftChars="100" w:firstLine="230" w:firstLineChars="100"/>
        <w:rPr>
          <w:rFonts w:hint="default"/>
          <w:color w:val="auto"/>
          <w:sz w:val="22"/>
        </w:rPr>
      </w:pPr>
      <w:r>
        <w:rPr>
          <w:rFonts w:hint="eastAsia"/>
          <w:color w:val="auto"/>
          <w:sz w:val="22"/>
        </w:rPr>
        <w:t>調査の実施主体は、農業技術センターとする。</w:t>
      </w:r>
    </w:p>
    <w:p>
      <w:pPr>
        <w:pStyle w:val="0"/>
        <w:wordWrap w:val="1"/>
        <w:spacing w:line="310" w:lineRule="exact"/>
        <w:ind w:left="230" w:hanging="230" w:hangingChars="100"/>
        <w:rPr>
          <w:rFonts w:hint="default"/>
          <w:color w:val="auto"/>
          <w:sz w:val="22"/>
        </w:rPr>
      </w:pPr>
    </w:p>
    <w:p>
      <w:pPr>
        <w:pStyle w:val="0"/>
        <w:wordWrap w:val="1"/>
        <w:spacing w:line="310" w:lineRule="exact"/>
        <w:ind w:left="230" w:hanging="230" w:hangingChars="100"/>
        <w:rPr>
          <w:rFonts w:hint="default"/>
          <w:color w:val="auto"/>
          <w:sz w:val="22"/>
          <w:u w:val="none" w:color="auto"/>
        </w:rPr>
      </w:pPr>
      <w:r>
        <w:rPr>
          <w:rFonts w:hint="eastAsia"/>
          <w:color w:val="auto"/>
          <w:sz w:val="22"/>
          <w:u w:val="none" w:color="auto"/>
        </w:rPr>
        <w:t>第</w:t>
      </w:r>
      <w:r>
        <w:rPr>
          <w:rFonts w:hint="eastAsia"/>
          <w:color w:val="auto"/>
          <w:sz w:val="22"/>
          <w:u w:val="none" w:color="auto"/>
        </w:rPr>
        <w:t>3</w:t>
      </w:r>
      <w:r>
        <w:rPr>
          <w:rFonts w:hint="eastAsia"/>
          <w:color w:val="auto"/>
          <w:sz w:val="22"/>
          <w:u w:val="none" w:color="auto"/>
        </w:rPr>
        <w:t>　調査対象とする主要農作物</w:t>
      </w:r>
    </w:p>
    <w:p>
      <w:pPr>
        <w:pStyle w:val="0"/>
        <w:wordWrap w:val="1"/>
        <w:spacing w:line="310" w:lineRule="exact"/>
        <w:ind w:left="210" w:leftChars="100" w:firstLine="230" w:firstLineChars="100"/>
        <w:rPr>
          <w:rFonts w:hint="default"/>
          <w:color w:val="auto"/>
          <w:sz w:val="22"/>
          <w:u w:val="none" w:color="auto"/>
        </w:rPr>
      </w:pPr>
      <w:r>
        <w:rPr>
          <w:rFonts w:hint="eastAsia"/>
          <w:color w:val="auto"/>
          <w:sz w:val="22"/>
          <w:u w:val="none" w:color="auto"/>
        </w:rPr>
        <w:t>調査対象とする主要農作物（以下「対象作物」という。）は、要綱第</w:t>
      </w:r>
      <w:r>
        <w:rPr>
          <w:rFonts w:hint="eastAsia"/>
          <w:color w:val="auto"/>
          <w:sz w:val="22"/>
          <w:u w:val="none" w:color="auto"/>
        </w:rPr>
        <w:t>2</w:t>
      </w:r>
      <w:r>
        <w:rPr>
          <w:rFonts w:hint="eastAsia"/>
          <w:color w:val="auto"/>
          <w:sz w:val="22"/>
          <w:u w:val="none" w:color="auto"/>
        </w:rPr>
        <w:t>条第</w:t>
      </w:r>
      <w:r>
        <w:rPr>
          <w:rFonts w:hint="eastAsia"/>
          <w:color w:val="auto"/>
          <w:sz w:val="22"/>
          <w:u w:val="none" w:color="auto"/>
        </w:rPr>
        <w:t>1</w:t>
      </w:r>
      <w:r>
        <w:rPr>
          <w:rFonts w:hint="eastAsia"/>
          <w:color w:val="auto"/>
          <w:sz w:val="22"/>
          <w:u w:val="none" w:color="auto"/>
        </w:rPr>
        <w:t>項に掲げるもののなかから、県内の栽培状況等に基づき、農業技術センター、農業振興センター農業改良普及課、農業振興センター農業改良普及所（以下「農業改良普及課・所」という。）及び環境農業推進課（以下「関係機関」という。）の職員が協議のうえ、農業技術センター所長が決定する。</w:t>
      </w:r>
    </w:p>
    <w:p>
      <w:pPr>
        <w:pStyle w:val="0"/>
        <w:wordWrap w:val="1"/>
        <w:spacing w:line="310" w:lineRule="exact"/>
        <w:rPr>
          <w:rFonts w:hint="default"/>
          <w:color w:val="auto"/>
          <w:sz w:val="22"/>
          <w:u w:val="none" w:color="auto"/>
        </w:rPr>
      </w:pPr>
    </w:p>
    <w:p>
      <w:pPr>
        <w:pStyle w:val="0"/>
        <w:wordWrap w:val="1"/>
        <w:spacing w:line="310" w:lineRule="exact"/>
        <w:rPr>
          <w:rFonts w:hint="default"/>
          <w:color w:val="auto"/>
          <w:sz w:val="22"/>
          <w:u w:val="none" w:color="auto"/>
        </w:rPr>
      </w:pPr>
      <w:r>
        <w:rPr>
          <w:rFonts w:hint="eastAsia"/>
          <w:color w:val="auto"/>
          <w:sz w:val="22"/>
          <w:u w:val="none" w:color="auto"/>
        </w:rPr>
        <w:t>第</w:t>
      </w:r>
      <w:r>
        <w:rPr>
          <w:rFonts w:hint="eastAsia"/>
          <w:color w:val="auto"/>
          <w:sz w:val="22"/>
          <w:u w:val="none" w:color="auto"/>
        </w:rPr>
        <w:t>4</w:t>
      </w:r>
      <w:r>
        <w:rPr>
          <w:rFonts w:hint="eastAsia"/>
          <w:color w:val="auto"/>
          <w:sz w:val="22"/>
          <w:u w:val="none" w:color="auto"/>
        </w:rPr>
        <w:t>　調査の種類</w:t>
      </w:r>
    </w:p>
    <w:p>
      <w:pPr>
        <w:pStyle w:val="0"/>
        <w:wordWrap w:val="1"/>
        <w:spacing w:line="310" w:lineRule="exact"/>
        <w:ind w:left="210" w:leftChars="100" w:firstLine="230" w:firstLineChars="100"/>
        <w:rPr>
          <w:rFonts w:hint="default"/>
          <w:color w:val="auto"/>
          <w:sz w:val="22"/>
          <w:u w:val="none" w:color="auto"/>
        </w:rPr>
      </w:pPr>
      <w:r>
        <w:rPr>
          <w:rFonts w:hint="eastAsia"/>
          <w:color w:val="auto"/>
          <w:sz w:val="22"/>
          <w:u w:val="none" w:color="auto"/>
        </w:rPr>
        <w:t>調査の種類は、要綱第</w:t>
      </w:r>
      <w:r>
        <w:rPr>
          <w:rFonts w:hint="eastAsia"/>
          <w:color w:val="auto"/>
          <w:sz w:val="22"/>
          <w:u w:val="none" w:color="auto"/>
        </w:rPr>
        <w:t>5</w:t>
      </w:r>
      <w:r>
        <w:rPr>
          <w:rFonts w:hint="eastAsia"/>
          <w:color w:val="auto"/>
          <w:sz w:val="22"/>
          <w:u w:val="none" w:color="auto"/>
        </w:rPr>
        <w:t>条第</w:t>
      </w:r>
      <w:r>
        <w:rPr>
          <w:rFonts w:hint="eastAsia"/>
          <w:color w:val="auto"/>
          <w:sz w:val="22"/>
          <w:u w:val="none" w:color="auto"/>
        </w:rPr>
        <w:t>2</w:t>
      </w:r>
      <w:r>
        <w:rPr>
          <w:rFonts w:hint="eastAsia"/>
          <w:color w:val="auto"/>
          <w:sz w:val="22"/>
          <w:u w:val="none" w:color="auto"/>
        </w:rPr>
        <w:t>項に示す基本調査と現地調査とし、基本調査は奨励品種決定調査予備調査（以下「予備調査」という。）及び奨励品種決定調査本調査（以下「本調査」という。）で構成する。ただし、当該品種の特性が明らかな場合には、予備調査は省略することができる。</w:t>
      </w:r>
    </w:p>
    <w:p>
      <w:pPr>
        <w:pStyle w:val="0"/>
        <w:wordWrap w:val="1"/>
        <w:spacing w:line="310" w:lineRule="exact"/>
        <w:ind w:firstLine="230" w:firstLineChars="100"/>
        <w:rPr>
          <w:rFonts w:hint="default"/>
          <w:color w:val="auto"/>
          <w:sz w:val="22"/>
          <w:u w:val="none" w:color="auto"/>
        </w:rPr>
      </w:pPr>
      <w:r>
        <w:rPr>
          <w:rFonts w:hint="eastAsia"/>
          <w:color w:val="auto"/>
          <w:sz w:val="22"/>
          <w:u w:val="none" w:color="auto"/>
        </w:rPr>
        <w:t>1</w:t>
      </w:r>
      <w:r>
        <w:rPr>
          <w:rFonts w:hint="eastAsia"/>
          <w:color w:val="auto"/>
          <w:sz w:val="22"/>
          <w:u w:val="none" w:color="auto"/>
        </w:rPr>
        <w:t>　基本調査</w:t>
      </w:r>
    </w:p>
    <w:p>
      <w:pPr>
        <w:pStyle w:val="0"/>
        <w:wordWrap w:val="1"/>
        <w:spacing w:line="310" w:lineRule="exact"/>
        <w:ind w:firstLine="460" w:firstLineChars="200"/>
        <w:rPr>
          <w:rFonts w:hint="default"/>
          <w:color w:val="auto"/>
          <w:sz w:val="22"/>
          <w:u w:val="none" w:color="auto"/>
        </w:rPr>
      </w:pPr>
      <w:r>
        <w:rPr>
          <w:rFonts w:hint="eastAsia"/>
          <w:color w:val="auto"/>
          <w:sz w:val="22"/>
          <w:u w:val="none" w:color="auto"/>
        </w:rPr>
        <w:t>(1)</w:t>
      </w:r>
      <w:r>
        <w:rPr>
          <w:rFonts w:hint="eastAsia"/>
          <w:color w:val="auto"/>
          <w:sz w:val="22"/>
          <w:u w:val="none" w:color="auto"/>
        </w:rPr>
        <w:t>　予備調査</w:t>
      </w:r>
    </w:p>
    <w:p>
      <w:pPr>
        <w:pStyle w:val="0"/>
        <w:kinsoku w:val="0"/>
        <w:wordWrap w:val="1"/>
        <w:overflowPunct w:val="0"/>
        <w:autoSpaceDE w:val="0"/>
        <w:autoSpaceDN w:val="0"/>
        <w:spacing w:line="310" w:lineRule="exact"/>
        <w:ind w:left="840" w:leftChars="400" w:firstLine="230" w:firstLineChars="100"/>
        <w:rPr>
          <w:rFonts w:hint="default"/>
          <w:color w:val="auto"/>
          <w:sz w:val="22"/>
          <w:u w:val="none" w:color="auto"/>
        </w:rPr>
      </w:pPr>
      <w:r>
        <w:rPr>
          <w:rFonts w:hint="eastAsia"/>
          <w:color w:val="auto"/>
          <w:sz w:val="22"/>
          <w:u w:val="none" w:color="auto"/>
        </w:rPr>
        <w:t>本県の気象条件及び標準的な栽培条件下における特性を明らかにし、品種の生産力の概要を知るために予備的に行う調査。</w:t>
      </w:r>
    </w:p>
    <w:p>
      <w:pPr>
        <w:pStyle w:val="0"/>
        <w:wordWrap w:val="1"/>
        <w:spacing w:line="310" w:lineRule="exact"/>
        <w:ind w:firstLine="460" w:firstLineChars="200"/>
        <w:rPr>
          <w:rFonts w:hint="default"/>
          <w:color w:val="auto"/>
          <w:sz w:val="22"/>
          <w:u w:val="none" w:color="auto"/>
        </w:rPr>
      </w:pPr>
      <w:r>
        <w:rPr>
          <w:rFonts w:hint="eastAsia"/>
          <w:color w:val="auto"/>
          <w:sz w:val="22"/>
          <w:u w:val="none" w:color="auto"/>
        </w:rPr>
        <w:t>(2)</w:t>
      </w:r>
      <w:r>
        <w:rPr>
          <w:rFonts w:hint="eastAsia"/>
          <w:color w:val="auto"/>
          <w:sz w:val="22"/>
          <w:u w:val="none" w:color="auto"/>
        </w:rPr>
        <w:t>　本調査</w:t>
      </w:r>
    </w:p>
    <w:p>
      <w:pPr>
        <w:pStyle w:val="0"/>
        <w:wordWrap w:val="1"/>
        <w:spacing w:line="310" w:lineRule="exact"/>
        <w:ind w:left="840" w:leftChars="400" w:firstLine="230" w:firstLineChars="100"/>
        <w:rPr>
          <w:rFonts w:hint="default"/>
          <w:color w:val="auto"/>
          <w:sz w:val="22"/>
          <w:u w:val="none" w:color="auto"/>
        </w:rPr>
      </w:pPr>
      <w:r>
        <w:rPr>
          <w:rFonts w:hint="eastAsia"/>
          <w:color w:val="auto"/>
          <w:sz w:val="22"/>
          <w:u w:val="none" w:color="auto"/>
        </w:rPr>
        <w:t>本県の標準的な栽培条件以外に、少肥栽培、多肥栽培、早植栽培、晩植栽培等の必要な調査区を設けて、生産力その他重要形質の検定を行う調査。</w:t>
      </w:r>
    </w:p>
    <w:p>
      <w:pPr>
        <w:pStyle w:val="0"/>
        <w:wordWrap w:val="1"/>
        <w:spacing w:line="310" w:lineRule="exact"/>
        <w:ind w:firstLine="230" w:firstLineChars="100"/>
        <w:rPr>
          <w:rFonts w:hint="default"/>
          <w:color w:val="auto"/>
          <w:sz w:val="22"/>
          <w:u w:val="none" w:color="auto"/>
        </w:rPr>
      </w:pPr>
      <w:r>
        <w:rPr>
          <w:rFonts w:hint="eastAsia"/>
          <w:color w:val="auto"/>
          <w:sz w:val="22"/>
          <w:u w:val="none" w:color="auto"/>
        </w:rPr>
        <w:t>2</w:t>
      </w:r>
      <w:r>
        <w:rPr>
          <w:rFonts w:hint="eastAsia"/>
          <w:color w:val="auto"/>
          <w:sz w:val="22"/>
          <w:u w:val="none" w:color="auto"/>
        </w:rPr>
        <w:t>　現地調査</w:t>
      </w:r>
    </w:p>
    <w:p>
      <w:pPr>
        <w:pStyle w:val="0"/>
        <w:wordWrap w:val="1"/>
        <w:spacing w:line="310" w:lineRule="exact"/>
        <w:ind w:left="420" w:leftChars="200" w:firstLine="230" w:firstLineChars="100"/>
        <w:rPr>
          <w:rFonts w:hint="default"/>
          <w:color w:val="auto"/>
          <w:sz w:val="22"/>
          <w:u w:val="none" w:color="auto"/>
        </w:rPr>
      </w:pPr>
      <w:r>
        <w:rPr>
          <w:rFonts w:hint="eastAsia"/>
          <w:color w:val="auto"/>
          <w:sz w:val="22"/>
          <w:u w:val="none" w:color="auto"/>
        </w:rPr>
        <w:t>各地域の気象条件及び標準的な栽培条件下において特性、生産量等を明らかにし、奨励品種及び普及範囲の決定に資するために実施する調査。</w:t>
      </w:r>
    </w:p>
    <w:p>
      <w:pPr>
        <w:pStyle w:val="0"/>
        <w:wordWrap w:val="1"/>
        <w:spacing w:line="310" w:lineRule="exact"/>
        <w:rPr>
          <w:rFonts w:hint="default"/>
          <w:color w:val="auto"/>
          <w:sz w:val="22"/>
          <w:u w:val="none" w:color="auto"/>
        </w:rPr>
      </w:pPr>
    </w:p>
    <w:p>
      <w:pPr>
        <w:pStyle w:val="0"/>
        <w:wordWrap w:val="1"/>
        <w:spacing w:line="310" w:lineRule="exact"/>
        <w:rPr>
          <w:rFonts w:hint="default"/>
          <w:color w:val="auto"/>
          <w:sz w:val="22"/>
          <w:u w:val="none" w:color="auto"/>
        </w:rPr>
      </w:pPr>
      <w:r>
        <w:rPr>
          <w:rFonts w:hint="eastAsia"/>
          <w:color w:val="auto"/>
          <w:sz w:val="22"/>
          <w:u w:val="none" w:color="auto"/>
        </w:rPr>
        <w:t>第</w:t>
      </w:r>
      <w:r>
        <w:rPr>
          <w:rFonts w:hint="eastAsia"/>
          <w:color w:val="auto"/>
          <w:sz w:val="22"/>
          <w:u w:val="none" w:color="auto"/>
        </w:rPr>
        <w:t>5</w:t>
      </w:r>
      <w:r>
        <w:rPr>
          <w:rFonts w:hint="eastAsia"/>
          <w:color w:val="auto"/>
          <w:sz w:val="22"/>
          <w:u w:val="none" w:color="auto"/>
        </w:rPr>
        <w:t>　調査の実施場所</w:t>
      </w:r>
    </w:p>
    <w:p>
      <w:pPr>
        <w:pStyle w:val="0"/>
        <w:wordWrap w:val="1"/>
        <w:spacing w:line="310" w:lineRule="exact"/>
        <w:ind w:firstLine="230" w:firstLineChars="100"/>
        <w:rPr>
          <w:rFonts w:hint="default"/>
          <w:color w:val="auto"/>
          <w:sz w:val="22"/>
          <w:u w:val="none" w:color="auto"/>
        </w:rPr>
      </w:pPr>
      <w:r>
        <w:rPr>
          <w:rFonts w:hint="eastAsia"/>
          <w:color w:val="auto"/>
          <w:sz w:val="22"/>
          <w:u w:val="none" w:color="auto"/>
        </w:rPr>
        <w:t>1</w:t>
      </w:r>
      <w:r>
        <w:rPr>
          <w:rFonts w:hint="eastAsia"/>
          <w:color w:val="auto"/>
          <w:sz w:val="22"/>
          <w:u w:val="none" w:color="auto"/>
        </w:rPr>
        <w:t>　基本調査</w:t>
      </w:r>
    </w:p>
    <w:p>
      <w:pPr>
        <w:pStyle w:val="0"/>
        <w:wordWrap w:val="1"/>
        <w:spacing w:line="310" w:lineRule="exact"/>
        <w:ind w:firstLine="690" w:firstLineChars="300"/>
        <w:rPr>
          <w:rFonts w:hint="default"/>
          <w:color w:val="auto"/>
          <w:sz w:val="22"/>
          <w:u w:val="none" w:color="auto"/>
        </w:rPr>
      </w:pPr>
      <w:r>
        <w:rPr>
          <w:rFonts w:hint="eastAsia"/>
          <w:color w:val="auto"/>
          <w:sz w:val="22"/>
          <w:u w:val="none" w:color="auto"/>
        </w:rPr>
        <w:t>農業技術センター内ほ場とする。</w:t>
      </w:r>
    </w:p>
    <w:p>
      <w:pPr>
        <w:pStyle w:val="0"/>
        <w:wordWrap w:val="1"/>
        <w:spacing w:line="310" w:lineRule="exact"/>
        <w:ind w:firstLine="230" w:firstLineChars="100"/>
        <w:rPr>
          <w:rFonts w:hint="default"/>
          <w:color w:val="auto"/>
          <w:sz w:val="22"/>
          <w:u w:val="none" w:color="auto"/>
        </w:rPr>
      </w:pPr>
      <w:r>
        <w:rPr>
          <w:rFonts w:hint="eastAsia"/>
          <w:color w:val="auto"/>
          <w:sz w:val="22"/>
          <w:u w:val="none" w:color="auto"/>
        </w:rPr>
        <w:t>2</w:t>
      </w:r>
      <w:r>
        <w:rPr>
          <w:rFonts w:hint="eastAsia"/>
          <w:color w:val="auto"/>
          <w:sz w:val="22"/>
          <w:u w:val="none" w:color="auto"/>
        </w:rPr>
        <w:t>　現地調査</w:t>
      </w:r>
    </w:p>
    <w:p>
      <w:pPr>
        <w:pStyle w:val="0"/>
        <w:wordWrap w:val="1"/>
        <w:spacing w:line="310" w:lineRule="exact"/>
        <w:ind w:left="360" w:leftChars="200" w:firstLine="220" w:firstLineChars="100"/>
        <w:rPr>
          <w:rFonts w:hint="default"/>
          <w:color w:val="auto"/>
          <w:sz w:val="22"/>
          <w:u w:val="none" w:color="auto"/>
        </w:rPr>
      </w:pPr>
      <w:r>
        <w:rPr>
          <w:rFonts w:hint="eastAsia"/>
          <w:color w:val="auto"/>
          <w:sz w:val="22"/>
          <w:u w:val="none" w:color="auto"/>
        </w:rPr>
        <w:t>対象作物の地域ごとの栽培状況、気象、土壌その他の自然条件及び農業経営事情等をもとに、関係機関の職員が協議のうえ、農業技術センター所長が決定する。</w:t>
      </w:r>
    </w:p>
    <w:p>
      <w:pPr>
        <w:pStyle w:val="0"/>
        <w:wordWrap w:val="1"/>
        <w:spacing w:line="310" w:lineRule="exact"/>
        <w:rPr>
          <w:rFonts w:hint="default"/>
          <w:color w:val="auto"/>
          <w:sz w:val="22"/>
          <w:u w:val="none" w:color="auto"/>
        </w:rPr>
      </w:pPr>
    </w:p>
    <w:p>
      <w:pPr>
        <w:pStyle w:val="0"/>
        <w:wordWrap w:val="1"/>
        <w:spacing w:line="310" w:lineRule="exact"/>
        <w:rPr>
          <w:rFonts w:hint="default"/>
          <w:color w:val="auto"/>
          <w:sz w:val="22"/>
          <w:u w:val="none" w:color="auto"/>
        </w:rPr>
      </w:pPr>
      <w:r>
        <w:rPr>
          <w:rFonts w:hint="eastAsia"/>
          <w:color w:val="auto"/>
          <w:sz w:val="22"/>
          <w:u w:val="none" w:color="auto"/>
        </w:rPr>
        <w:t>第</w:t>
      </w:r>
      <w:r>
        <w:rPr>
          <w:rFonts w:hint="eastAsia"/>
          <w:color w:val="auto"/>
          <w:sz w:val="22"/>
          <w:u w:val="none" w:color="auto"/>
        </w:rPr>
        <w:t>6</w:t>
      </w:r>
      <w:r>
        <w:rPr>
          <w:rFonts w:hint="eastAsia"/>
          <w:color w:val="auto"/>
          <w:sz w:val="22"/>
          <w:u w:val="none" w:color="auto"/>
        </w:rPr>
        <w:t>　調査に用いる品種</w:t>
      </w:r>
    </w:p>
    <w:p>
      <w:pPr>
        <w:pStyle w:val="0"/>
        <w:wordWrap w:val="1"/>
        <w:spacing w:line="310" w:lineRule="exact"/>
        <w:ind w:left="210" w:leftChars="100" w:firstLine="230" w:firstLineChars="100"/>
        <w:rPr>
          <w:rFonts w:hint="default"/>
          <w:color w:val="auto"/>
          <w:sz w:val="22"/>
          <w:u w:val="none" w:color="auto"/>
        </w:rPr>
      </w:pPr>
      <w:r>
        <w:rPr>
          <w:rFonts w:hint="eastAsia"/>
          <w:color w:val="auto"/>
          <w:sz w:val="22"/>
          <w:u w:val="none" w:color="auto"/>
        </w:rPr>
        <w:t>調査に用いる品種は、次のとおり決定する。いずれの調査においても、対照区を設け、対照品種は農業技術センターが指定する。</w:t>
      </w:r>
    </w:p>
    <w:p>
      <w:pPr>
        <w:pStyle w:val="0"/>
        <w:wordWrap w:val="1"/>
        <w:spacing w:line="310" w:lineRule="exact"/>
        <w:ind w:firstLine="230" w:firstLineChars="100"/>
        <w:rPr>
          <w:rFonts w:hint="default"/>
          <w:color w:val="auto"/>
          <w:sz w:val="22"/>
          <w:u w:val="none" w:color="auto"/>
        </w:rPr>
      </w:pPr>
      <w:r>
        <w:rPr>
          <w:rFonts w:hint="eastAsia"/>
          <w:color w:val="auto"/>
          <w:sz w:val="22"/>
          <w:u w:val="none" w:color="auto"/>
        </w:rPr>
        <w:t>1</w:t>
      </w:r>
      <w:r>
        <w:rPr>
          <w:rFonts w:hint="eastAsia"/>
          <w:color w:val="auto"/>
          <w:sz w:val="22"/>
          <w:u w:val="none" w:color="auto"/>
        </w:rPr>
        <w:t>　予備調査</w:t>
      </w:r>
    </w:p>
    <w:p>
      <w:pPr>
        <w:pStyle w:val="0"/>
        <w:wordWrap w:val="1"/>
        <w:spacing w:line="310" w:lineRule="exact"/>
        <w:ind w:left="420" w:leftChars="200" w:firstLine="230" w:firstLineChars="100"/>
        <w:rPr>
          <w:rFonts w:hint="default"/>
          <w:color w:val="auto"/>
          <w:sz w:val="22"/>
          <w:u w:val="none" w:color="auto"/>
        </w:rPr>
      </w:pPr>
      <w:r>
        <w:rPr>
          <w:rFonts w:hint="eastAsia"/>
          <w:color w:val="auto"/>
          <w:sz w:val="22"/>
          <w:u w:val="none" w:color="auto"/>
        </w:rPr>
        <w:t>農業技術センター、他県の試験研究機関、独立行政法人、民間事業者等で育成された品種のなかで、農業技術センター所長が高知県への適応性が高いと判断した品種とする。なお、予備調査における評価は、複数年の試験成績をもとに行うことを基本とする。</w:t>
      </w:r>
    </w:p>
    <w:p>
      <w:pPr>
        <w:pStyle w:val="0"/>
        <w:wordWrap w:val="1"/>
        <w:spacing w:line="310" w:lineRule="exact"/>
        <w:ind w:firstLine="230" w:firstLineChars="100"/>
        <w:rPr>
          <w:rFonts w:hint="default"/>
          <w:color w:val="auto"/>
          <w:sz w:val="22"/>
          <w:u w:val="none" w:color="auto"/>
        </w:rPr>
      </w:pPr>
      <w:r>
        <w:rPr>
          <w:rFonts w:hint="eastAsia"/>
          <w:color w:val="auto"/>
          <w:sz w:val="22"/>
          <w:u w:val="none" w:color="auto"/>
        </w:rPr>
        <w:t>2</w:t>
      </w:r>
      <w:r>
        <w:rPr>
          <w:rFonts w:hint="eastAsia"/>
          <w:color w:val="auto"/>
          <w:sz w:val="22"/>
          <w:u w:val="none" w:color="auto"/>
        </w:rPr>
        <w:t>　本調査</w:t>
      </w:r>
    </w:p>
    <w:p>
      <w:pPr>
        <w:pStyle w:val="0"/>
        <w:wordWrap w:val="1"/>
        <w:spacing w:line="310" w:lineRule="exact"/>
        <w:ind w:left="420" w:leftChars="200" w:firstLine="230" w:firstLineChars="100"/>
        <w:rPr>
          <w:rFonts w:hint="default"/>
          <w:color w:val="auto"/>
          <w:sz w:val="22"/>
          <w:u w:val="none" w:color="auto"/>
        </w:rPr>
      </w:pPr>
      <w:r>
        <w:rPr>
          <w:rFonts w:hint="eastAsia"/>
          <w:color w:val="auto"/>
          <w:sz w:val="22"/>
          <w:u w:val="none" w:color="auto"/>
        </w:rPr>
        <w:t>予備調査の結果、農業技術センターが有望と評価した品種及び他の試験研究機関等において特性が明らかとなっている品種とし、関係機関の職員が協議のうえ、農業技術センター所長が決定する。なお、基本調査における評価は、複数年の試験成績をもとに行うことを基本とする。</w:t>
      </w:r>
    </w:p>
    <w:p>
      <w:pPr>
        <w:pStyle w:val="0"/>
        <w:wordWrap w:val="1"/>
        <w:spacing w:line="310" w:lineRule="exact"/>
        <w:ind w:firstLine="230" w:firstLineChars="100"/>
        <w:rPr>
          <w:rFonts w:hint="default"/>
          <w:color w:val="auto"/>
          <w:sz w:val="22"/>
          <w:u w:val="none" w:color="auto"/>
        </w:rPr>
      </w:pPr>
      <w:r>
        <w:rPr>
          <w:rFonts w:hint="eastAsia"/>
          <w:color w:val="auto"/>
          <w:sz w:val="22"/>
          <w:u w:val="none" w:color="auto"/>
        </w:rPr>
        <w:t>3</w:t>
      </w:r>
      <w:r>
        <w:rPr>
          <w:rFonts w:hint="eastAsia"/>
          <w:color w:val="auto"/>
          <w:sz w:val="22"/>
          <w:u w:val="none" w:color="auto"/>
        </w:rPr>
        <w:t>　現地調査</w:t>
      </w:r>
    </w:p>
    <w:p>
      <w:pPr>
        <w:pStyle w:val="0"/>
        <w:wordWrap w:val="1"/>
        <w:spacing w:line="310" w:lineRule="exact"/>
        <w:ind w:left="420" w:leftChars="200" w:firstLine="230" w:firstLineChars="100"/>
        <w:rPr>
          <w:rFonts w:hint="default"/>
          <w:color w:val="auto"/>
          <w:sz w:val="22"/>
          <w:u w:val="none" w:color="auto"/>
        </w:rPr>
      </w:pPr>
      <w:r>
        <w:rPr>
          <w:rFonts w:hint="eastAsia"/>
          <w:color w:val="auto"/>
          <w:sz w:val="22"/>
          <w:u w:val="none" w:color="auto"/>
        </w:rPr>
        <w:t>基本調査の結果、農業技術センターが特に有望と評価した品種及び他の試験研究機関等において特性が明らかとなっている品種とし、関係機関の職員が協議のうえ、農業技術センター所長が決定する。</w:t>
      </w:r>
    </w:p>
    <w:p>
      <w:pPr>
        <w:pStyle w:val="0"/>
        <w:wordWrap w:val="1"/>
        <w:spacing w:line="310" w:lineRule="exact"/>
        <w:rPr>
          <w:rFonts w:hint="default"/>
          <w:color w:val="auto"/>
          <w:sz w:val="22"/>
          <w:u w:val="none" w:color="auto"/>
        </w:rPr>
      </w:pPr>
    </w:p>
    <w:p>
      <w:pPr>
        <w:pStyle w:val="0"/>
        <w:wordWrap w:val="1"/>
        <w:spacing w:line="310" w:lineRule="exact"/>
        <w:rPr>
          <w:rFonts w:hint="default"/>
          <w:color w:val="auto"/>
          <w:sz w:val="22"/>
          <w:u w:val="none" w:color="auto"/>
        </w:rPr>
      </w:pPr>
      <w:r>
        <w:rPr>
          <w:rFonts w:hint="eastAsia"/>
          <w:color w:val="auto"/>
          <w:sz w:val="22"/>
          <w:u w:val="none" w:color="auto"/>
        </w:rPr>
        <w:t>第</w:t>
      </w:r>
      <w:r>
        <w:rPr>
          <w:rFonts w:hint="eastAsia"/>
          <w:color w:val="auto"/>
          <w:sz w:val="22"/>
          <w:u w:val="none" w:color="auto"/>
        </w:rPr>
        <w:t>7</w:t>
      </w:r>
      <w:r>
        <w:rPr>
          <w:rFonts w:hint="eastAsia"/>
          <w:color w:val="auto"/>
          <w:sz w:val="22"/>
          <w:u w:val="none" w:color="auto"/>
        </w:rPr>
        <w:t>　調査実施計画の作成</w:t>
      </w:r>
    </w:p>
    <w:p>
      <w:pPr>
        <w:pStyle w:val="0"/>
        <w:wordWrap w:val="1"/>
        <w:spacing w:line="310" w:lineRule="exact"/>
        <w:ind w:left="210" w:leftChars="100" w:firstLine="230" w:firstLineChars="100"/>
        <w:rPr>
          <w:rFonts w:hint="default"/>
          <w:color w:val="auto"/>
          <w:sz w:val="22"/>
          <w:u w:val="none" w:color="auto"/>
        </w:rPr>
      </w:pPr>
      <w:r>
        <w:rPr>
          <w:rFonts w:hint="eastAsia"/>
          <w:color w:val="auto"/>
          <w:sz w:val="22"/>
          <w:u w:val="none" w:color="auto"/>
        </w:rPr>
        <w:t>農業技術センターは第</w:t>
      </w:r>
      <w:r>
        <w:rPr>
          <w:rFonts w:hint="eastAsia"/>
          <w:color w:val="auto"/>
          <w:sz w:val="22"/>
          <w:u w:val="none" w:color="auto"/>
        </w:rPr>
        <w:t>3</w:t>
      </w:r>
      <w:r>
        <w:rPr>
          <w:rFonts w:hint="eastAsia"/>
          <w:color w:val="auto"/>
          <w:sz w:val="22"/>
          <w:u w:val="none" w:color="auto"/>
        </w:rPr>
        <w:t>において決定された対象作物について、調査の種類ごとに、調査に用いる品種、調査実施場所等を記載した調査実施計画を作成する。</w:t>
      </w:r>
    </w:p>
    <w:p>
      <w:pPr>
        <w:pStyle w:val="0"/>
        <w:wordWrap w:val="1"/>
        <w:spacing w:line="310" w:lineRule="exact"/>
        <w:rPr>
          <w:rFonts w:hint="default"/>
          <w:color w:val="auto"/>
          <w:sz w:val="22"/>
          <w:u w:val="none" w:color="auto"/>
        </w:rPr>
      </w:pPr>
    </w:p>
    <w:p>
      <w:pPr>
        <w:pStyle w:val="0"/>
        <w:wordWrap w:val="1"/>
        <w:spacing w:line="310" w:lineRule="exact"/>
        <w:rPr>
          <w:rFonts w:hint="default"/>
          <w:color w:val="auto"/>
          <w:sz w:val="22"/>
          <w:u w:val="none" w:color="auto"/>
        </w:rPr>
      </w:pPr>
      <w:r>
        <w:rPr>
          <w:rFonts w:hint="eastAsia"/>
          <w:color w:val="auto"/>
          <w:sz w:val="22"/>
          <w:u w:val="none" w:color="auto"/>
        </w:rPr>
        <w:t>第</w:t>
      </w:r>
      <w:r>
        <w:rPr>
          <w:rFonts w:hint="eastAsia"/>
          <w:color w:val="auto"/>
          <w:sz w:val="22"/>
          <w:u w:val="none" w:color="auto"/>
        </w:rPr>
        <w:t>8</w:t>
      </w:r>
      <w:r>
        <w:rPr>
          <w:rFonts w:hint="eastAsia"/>
          <w:color w:val="auto"/>
          <w:sz w:val="22"/>
          <w:u w:val="none" w:color="auto"/>
        </w:rPr>
        <w:t>　調査の実施</w:t>
      </w:r>
    </w:p>
    <w:p>
      <w:pPr>
        <w:pStyle w:val="0"/>
        <w:wordWrap w:val="1"/>
        <w:spacing w:line="310" w:lineRule="exact"/>
        <w:ind w:firstLine="460" w:firstLineChars="200"/>
        <w:rPr>
          <w:rFonts w:hint="default"/>
          <w:color w:val="auto"/>
          <w:sz w:val="22"/>
          <w:u w:val="none" w:color="auto"/>
        </w:rPr>
      </w:pPr>
      <w:r>
        <w:rPr>
          <w:rFonts w:hint="eastAsia"/>
          <w:color w:val="auto"/>
          <w:sz w:val="22"/>
          <w:u w:val="none" w:color="auto"/>
        </w:rPr>
        <w:t>第</w:t>
      </w:r>
      <w:r>
        <w:rPr>
          <w:rFonts w:hint="eastAsia"/>
          <w:color w:val="auto"/>
          <w:sz w:val="22"/>
          <w:u w:val="none" w:color="auto"/>
        </w:rPr>
        <w:t>7</w:t>
      </w:r>
      <w:r>
        <w:rPr>
          <w:rFonts w:hint="eastAsia"/>
          <w:color w:val="auto"/>
          <w:sz w:val="22"/>
          <w:u w:val="none" w:color="auto"/>
        </w:rPr>
        <w:t>において作成した調査実施計画に基づき、次のとおり調査を実施する。</w:t>
      </w:r>
    </w:p>
    <w:p>
      <w:pPr>
        <w:pStyle w:val="0"/>
        <w:wordWrap w:val="1"/>
        <w:spacing w:line="310" w:lineRule="exact"/>
        <w:ind w:firstLine="230" w:firstLineChars="100"/>
        <w:rPr>
          <w:rFonts w:hint="default"/>
          <w:color w:val="auto"/>
          <w:sz w:val="22"/>
          <w:u w:val="none" w:color="auto"/>
        </w:rPr>
      </w:pPr>
      <w:r>
        <w:rPr>
          <w:rFonts w:hint="eastAsia"/>
          <w:color w:val="auto"/>
          <w:sz w:val="22"/>
          <w:u w:val="none" w:color="auto"/>
        </w:rPr>
        <w:t>1</w:t>
      </w:r>
      <w:r>
        <w:rPr>
          <w:rFonts w:hint="eastAsia"/>
          <w:color w:val="auto"/>
          <w:sz w:val="22"/>
          <w:u w:val="none" w:color="auto"/>
        </w:rPr>
        <w:t>　基本調査</w:t>
      </w:r>
    </w:p>
    <w:p>
      <w:pPr>
        <w:pStyle w:val="0"/>
        <w:wordWrap w:val="1"/>
        <w:spacing w:line="310" w:lineRule="exact"/>
        <w:ind w:firstLine="460" w:firstLineChars="200"/>
        <w:rPr>
          <w:rFonts w:hint="default"/>
          <w:color w:val="auto"/>
          <w:sz w:val="22"/>
          <w:u w:val="none" w:color="auto"/>
        </w:rPr>
      </w:pPr>
      <w:r>
        <w:rPr>
          <w:rFonts w:hint="eastAsia"/>
          <w:color w:val="auto"/>
          <w:sz w:val="22"/>
          <w:u w:val="none" w:color="auto"/>
        </w:rPr>
        <w:t>(1)</w:t>
      </w:r>
      <w:r>
        <w:rPr>
          <w:rFonts w:hint="eastAsia"/>
          <w:color w:val="auto"/>
          <w:sz w:val="22"/>
          <w:u w:val="none" w:color="auto"/>
        </w:rPr>
        <w:t>　調査</w:t>
      </w:r>
    </w:p>
    <w:p>
      <w:pPr>
        <w:pStyle w:val="0"/>
        <w:wordWrap w:val="1"/>
        <w:spacing w:line="310" w:lineRule="exact"/>
        <w:ind w:firstLine="1150" w:firstLineChars="500"/>
        <w:rPr>
          <w:rFonts w:hint="default"/>
          <w:color w:val="auto"/>
          <w:sz w:val="22"/>
          <w:u w:val="none" w:color="auto"/>
        </w:rPr>
      </w:pPr>
      <w:r>
        <w:rPr>
          <w:rFonts w:hint="eastAsia"/>
          <w:color w:val="auto"/>
          <w:sz w:val="22"/>
          <w:u w:val="none" w:color="auto"/>
        </w:rPr>
        <w:t>農業技術センターの職員とする。</w:t>
      </w:r>
    </w:p>
    <w:p>
      <w:pPr>
        <w:pStyle w:val="0"/>
        <w:wordWrap w:val="1"/>
        <w:spacing w:line="310" w:lineRule="exact"/>
        <w:ind w:firstLine="460" w:firstLineChars="200"/>
        <w:rPr>
          <w:rFonts w:hint="default"/>
          <w:color w:val="auto"/>
          <w:sz w:val="22"/>
          <w:u w:val="none" w:color="auto"/>
        </w:rPr>
      </w:pPr>
      <w:r>
        <w:rPr>
          <w:rFonts w:hint="eastAsia"/>
          <w:color w:val="auto"/>
          <w:sz w:val="22"/>
          <w:u w:val="none" w:color="auto"/>
        </w:rPr>
        <w:t>(2)</w:t>
      </w:r>
      <w:r>
        <w:rPr>
          <w:rFonts w:hint="eastAsia"/>
          <w:color w:val="auto"/>
          <w:sz w:val="22"/>
          <w:u w:val="none" w:color="auto"/>
        </w:rPr>
        <w:t>　栽培管理</w:t>
      </w:r>
    </w:p>
    <w:p>
      <w:pPr>
        <w:pStyle w:val="0"/>
        <w:wordWrap w:val="1"/>
        <w:spacing w:line="310" w:lineRule="exact"/>
        <w:ind w:firstLine="1150" w:firstLineChars="500"/>
        <w:rPr>
          <w:rFonts w:hint="default"/>
          <w:color w:val="auto"/>
          <w:sz w:val="22"/>
          <w:u w:val="none" w:color="auto"/>
        </w:rPr>
      </w:pPr>
      <w:r>
        <w:rPr>
          <w:rFonts w:hint="eastAsia"/>
          <w:color w:val="auto"/>
          <w:sz w:val="22"/>
          <w:u w:val="none" w:color="auto"/>
        </w:rPr>
        <w:t>農業技術センターの慣行栽培法とし、農業技術センターの職員が行う。</w:t>
      </w:r>
    </w:p>
    <w:p>
      <w:pPr>
        <w:pStyle w:val="0"/>
        <w:wordWrap w:val="1"/>
        <w:spacing w:line="310" w:lineRule="exact"/>
        <w:ind w:firstLine="460" w:firstLineChars="200"/>
        <w:rPr>
          <w:rFonts w:hint="default"/>
          <w:color w:val="auto"/>
          <w:sz w:val="22"/>
          <w:u w:val="none" w:color="auto"/>
        </w:rPr>
      </w:pPr>
      <w:r>
        <w:rPr>
          <w:rFonts w:hint="eastAsia"/>
          <w:color w:val="auto"/>
          <w:sz w:val="22"/>
          <w:u w:val="none" w:color="auto"/>
        </w:rPr>
        <w:t>(3)</w:t>
      </w:r>
      <w:r>
        <w:rPr>
          <w:rFonts w:hint="eastAsia"/>
          <w:color w:val="auto"/>
          <w:sz w:val="22"/>
          <w:u w:val="none" w:color="auto"/>
        </w:rPr>
        <w:t>　調査方法</w:t>
      </w:r>
    </w:p>
    <w:p>
      <w:pPr>
        <w:pStyle w:val="0"/>
        <w:wordWrap w:val="1"/>
        <w:spacing w:line="310" w:lineRule="exact"/>
        <w:ind w:firstLine="1150" w:firstLineChars="500"/>
        <w:rPr>
          <w:rFonts w:hint="default"/>
          <w:color w:val="auto"/>
          <w:sz w:val="22"/>
          <w:u w:val="none" w:color="auto"/>
        </w:rPr>
      </w:pPr>
      <w:r>
        <w:rPr>
          <w:rFonts w:hint="eastAsia"/>
          <w:color w:val="auto"/>
          <w:sz w:val="22"/>
          <w:u w:val="none" w:color="auto"/>
        </w:rPr>
        <w:t>調査方法は別表のとおりとする。</w:t>
      </w:r>
    </w:p>
    <w:p>
      <w:pPr>
        <w:pStyle w:val="0"/>
        <w:wordWrap w:val="1"/>
        <w:spacing w:line="310" w:lineRule="exact"/>
        <w:ind w:firstLine="230" w:firstLineChars="100"/>
        <w:rPr>
          <w:rFonts w:hint="default"/>
          <w:color w:val="auto"/>
          <w:sz w:val="22"/>
          <w:u w:val="none" w:color="auto"/>
        </w:rPr>
      </w:pPr>
      <w:r>
        <w:rPr>
          <w:rFonts w:hint="eastAsia"/>
          <w:color w:val="auto"/>
          <w:sz w:val="22"/>
          <w:u w:val="none" w:color="auto"/>
        </w:rPr>
        <w:t>2</w:t>
      </w:r>
      <w:r>
        <w:rPr>
          <w:rFonts w:hint="eastAsia"/>
          <w:color w:val="auto"/>
          <w:sz w:val="22"/>
          <w:u w:val="none" w:color="auto"/>
        </w:rPr>
        <w:t>　現地調査</w:t>
      </w:r>
    </w:p>
    <w:p>
      <w:pPr>
        <w:pStyle w:val="0"/>
        <w:wordWrap w:val="1"/>
        <w:spacing w:line="310" w:lineRule="exact"/>
        <w:ind w:firstLine="460" w:firstLineChars="200"/>
        <w:rPr>
          <w:rFonts w:hint="default"/>
          <w:color w:val="auto"/>
          <w:sz w:val="22"/>
          <w:u w:val="none" w:color="auto"/>
        </w:rPr>
      </w:pPr>
      <w:r>
        <w:rPr>
          <w:rFonts w:hint="eastAsia"/>
          <w:color w:val="auto"/>
          <w:sz w:val="22"/>
          <w:u w:val="none" w:color="auto"/>
        </w:rPr>
        <w:t>(1)</w:t>
      </w:r>
      <w:r>
        <w:rPr>
          <w:rFonts w:hint="eastAsia"/>
          <w:color w:val="auto"/>
          <w:sz w:val="22"/>
          <w:u w:val="none" w:color="auto"/>
        </w:rPr>
        <w:t>　実施農家及び実施ほ場の選定</w:t>
      </w:r>
    </w:p>
    <w:p>
      <w:pPr>
        <w:pStyle w:val="0"/>
        <w:wordWrap w:val="1"/>
        <w:spacing w:line="310" w:lineRule="exact"/>
        <w:ind w:left="840" w:leftChars="400" w:firstLine="230" w:firstLineChars="100"/>
        <w:rPr>
          <w:rFonts w:hint="default"/>
          <w:color w:val="auto"/>
          <w:sz w:val="22"/>
          <w:u w:val="none" w:color="auto"/>
        </w:rPr>
      </w:pPr>
      <w:r>
        <w:rPr>
          <w:rFonts w:hint="eastAsia"/>
          <w:color w:val="auto"/>
          <w:sz w:val="22"/>
          <w:u w:val="none" w:color="auto"/>
        </w:rPr>
        <w:t>農業改良普及課・所は次の基準に従って、実施農家及び実施ほ場を選定する。なお、農業技術センター所長は、農業振興センター所長及び農業改良普及所長あてに、実施農家及び実施ほ場の選定、調査の実施を依頼する。</w:t>
      </w:r>
    </w:p>
    <w:p>
      <w:pPr>
        <w:pStyle w:val="0"/>
        <w:wordWrap w:val="1"/>
        <w:spacing w:line="310" w:lineRule="exact"/>
        <w:ind w:firstLine="920" w:firstLineChars="400"/>
        <w:rPr>
          <w:rFonts w:hint="default"/>
          <w:color w:val="auto"/>
          <w:sz w:val="22"/>
          <w:u w:val="none" w:color="auto"/>
        </w:rPr>
      </w:pPr>
      <w:r>
        <w:rPr>
          <w:rFonts w:hint="eastAsia"/>
          <w:color w:val="auto"/>
          <w:sz w:val="22"/>
          <w:u w:val="none" w:color="auto"/>
        </w:rPr>
        <w:t>①　実施農家</w:t>
      </w:r>
    </w:p>
    <w:p>
      <w:pPr>
        <w:pStyle w:val="0"/>
        <w:wordWrap w:val="1"/>
        <w:spacing w:line="310" w:lineRule="exact"/>
        <w:ind w:left="900" w:leftChars="500" w:firstLine="200" w:firstLineChars="100"/>
        <w:rPr>
          <w:rFonts w:hint="default"/>
          <w:color w:val="auto"/>
          <w:sz w:val="22"/>
          <w:u w:val="none" w:color="auto"/>
        </w:rPr>
      </w:pPr>
      <w:r>
        <w:rPr>
          <w:rFonts w:hint="eastAsia"/>
          <w:color w:val="auto"/>
          <w:sz w:val="22"/>
          <w:u w:val="none" w:color="auto"/>
        </w:rPr>
        <w:t>経済力及び経営規模がその地域の標準以上であり、対象作物に関する豊富な経験及び優秀な技能を有する農家とする。</w:t>
      </w:r>
    </w:p>
    <w:p>
      <w:pPr>
        <w:pStyle w:val="0"/>
        <w:wordWrap w:val="1"/>
        <w:spacing w:line="310" w:lineRule="exact"/>
        <w:ind w:firstLine="920" w:firstLineChars="400"/>
        <w:rPr>
          <w:rFonts w:hint="default"/>
          <w:color w:val="auto"/>
          <w:sz w:val="22"/>
          <w:u w:val="none" w:color="auto"/>
        </w:rPr>
      </w:pPr>
      <w:r>
        <w:rPr>
          <w:rFonts w:hint="eastAsia"/>
          <w:color w:val="auto"/>
          <w:sz w:val="22"/>
          <w:u w:val="none" w:color="auto"/>
        </w:rPr>
        <w:t>②　実施ほ場</w:t>
      </w:r>
    </w:p>
    <w:p>
      <w:pPr>
        <w:pStyle w:val="0"/>
        <w:wordWrap w:val="1"/>
        <w:spacing w:line="310" w:lineRule="exact"/>
        <w:ind w:firstLine="1380" w:firstLineChars="600"/>
        <w:rPr>
          <w:rFonts w:hint="default"/>
          <w:color w:val="auto"/>
          <w:sz w:val="22"/>
          <w:u w:val="none" w:color="auto"/>
        </w:rPr>
      </w:pPr>
      <w:r>
        <w:rPr>
          <w:rFonts w:hint="eastAsia"/>
          <w:color w:val="auto"/>
          <w:sz w:val="22"/>
          <w:u w:val="none" w:color="auto"/>
        </w:rPr>
        <w:t>現地調査を実施するほ場は</w:t>
      </w:r>
    </w:p>
    <w:p>
      <w:pPr>
        <w:pStyle w:val="0"/>
        <w:wordWrap w:val="1"/>
        <w:spacing w:line="310" w:lineRule="exact"/>
        <w:ind w:firstLine="1380" w:firstLineChars="600"/>
        <w:rPr>
          <w:rFonts w:hint="default"/>
          <w:color w:val="auto"/>
          <w:sz w:val="22"/>
          <w:u w:val="none" w:color="auto"/>
        </w:rPr>
      </w:pPr>
      <w:r>
        <w:rPr>
          <w:rFonts w:hint="eastAsia"/>
          <w:color w:val="auto"/>
          <w:sz w:val="22"/>
          <w:u w:val="none" w:color="auto"/>
        </w:rPr>
        <w:t>ア　気象、土壌、地力、用水等の環境条件が当該地域の代表であること。</w:t>
      </w:r>
    </w:p>
    <w:p>
      <w:pPr>
        <w:pStyle w:val="0"/>
        <w:wordWrap w:val="1"/>
        <w:spacing w:line="310" w:lineRule="exact"/>
        <w:ind w:firstLine="1380" w:firstLineChars="600"/>
        <w:rPr>
          <w:rFonts w:hint="default"/>
          <w:color w:val="auto"/>
          <w:sz w:val="22"/>
          <w:u w:val="none" w:color="auto"/>
        </w:rPr>
      </w:pPr>
      <w:r>
        <w:rPr>
          <w:rFonts w:hint="eastAsia"/>
          <w:color w:val="auto"/>
          <w:sz w:val="22"/>
          <w:u w:val="none" w:color="auto"/>
        </w:rPr>
        <w:t>イ　地力が均一であり、</w:t>
      </w:r>
      <w:r>
        <w:rPr>
          <w:rFonts w:hint="eastAsia"/>
          <w:color w:val="auto"/>
          <w:sz w:val="22"/>
          <w:u w:val="none" w:color="auto"/>
        </w:rPr>
        <w:t>2</w:t>
      </w:r>
      <w:r>
        <w:rPr>
          <w:rFonts w:hint="eastAsia"/>
          <w:color w:val="auto"/>
          <w:sz w:val="22"/>
          <w:u w:val="none" w:color="auto"/>
        </w:rPr>
        <w:t>筆以上にわたる場合は、隣接すること。</w:t>
      </w:r>
    </w:p>
    <w:p>
      <w:pPr>
        <w:pStyle w:val="0"/>
        <w:wordWrap w:val="1"/>
        <w:spacing w:line="310" w:lineRule="exact"/>
        <w:ind w:firstLine="1150" w:firstLineChars="500"/>
        <w:rPr>
          <w:rFonts w:hint="default"/>
          <w:color w:val="auto"/>
          <w:sz w:val="22"/>
          <w:u w:val="none" w:color="auto"/>
        </w:rPr>
      </w:pPr>
      <w:r>
        <w:rPr>
          <w:rFonts w:hint="eastAsia"/>
          <w:color w:val="auto"/>
          <w:sz w:val="22"/>
          <w:u w:val="none" w:color="auto"/>
        </w:rPr>
        <w:t>とする。</w:t>
      </w:r>
    </w:p>
    <w:p>
      <w:pPr>
        <w:pStyle w:val="0"/>
        <w:wordWrap w:val="1"/>
        <w:spacing w:line="310" w:lineRule="exact"/>
        <w:ind w:firstLine="460" w:firstLineChars="200"/>
        <w:rPr>
          <w:rFonts w:hint="default"/>
          <w:color w:val="auto"/>
          <w:sz w:val="22"/>
          <w:u w:val="none" w:color="auto"/>
        </w:rPr>
      </w:pPr>
      <w:r>
        <w:rPr>
          <w:rFonts w:hint="eastAsia"/>
          <w:color w:val="auto"/>
          <w:sz w:val="22"/>
          <w:u w:val="none" w:color="auto"/>
        </w:rPr>
        <w:t>(2)</w:t>
      </w:r>
      <w:r>
        <w:rPr>
          <w:rFonts w:hint="eastAsia"/>
          <w:color w:val="auto"/>
          <w:sz w:val="22"/>
          <w:u w:val="none" w:color="auto"/>
        </w:rPr>
        <w:t>　調査</w:t>
      </w:r>
    </w:p>
    <w:p>
      <w:pPr>
        <w:pStyle w:val="0"/>
        <w:wordWrap w:val="1"/>
        <w:spacing w:line="310" w:lineRule="exact"/>
        <w:ind w:firstLine="1150" w:firstLineChars="500"/>
        <w:rPr>
          <w:rFonts w:hint="default"/>
          <w:color w:val="auto"/>
          <w:sz w:val="22"/>
          <w:u w:val="none" w:color="auto"/>
        </w:rPr>
      </w:pPr>
      <w:r>
        <w:rPr>
          <w:rFonts w:hint="eastAsia"/>
          <w:color w:val="auto"/>
          <w:sz w:val="22"/>
          <w:u w:val="none" w:color="auto"/>
        </w:rPr>
        <w:t>調査ほ場を管轄する農業改良普及課・所の職員とする。</w:t>
      </w:r>
    </w:p>
    <w:p>
      <w:pPr>
        <w:pStyle w:val="0"/>
        <w:wordWrap w:val="1"/>
        <w:spacing w:line="310" w:lineRule="exact"/>
        <w:ind w:firstLine="460" w:firstLineChars="200"/>
        <w:rPr>
          <w:rFonts w:hint="default"/>
          <w:color w:val="auto"/>
          <w:sz w:val="22"/>
          <w:u w:val="none" w:color="auto"/>
        </w:rPr>
      </w:pPr>
      <w:r>
        <w:rPr>
          <w:rFonts w:hint="eastAsia"/>
          <w:color w:val="auto"/>
          <w:sz w:val="22"/>
          <w:u w:val="none" w:color="auto"/>
        </w:rPr>
        <w:t>(3)</w:t>
      </w:r>
      <w:r>
        <w:rPr>
          <w:rFonts w:hint="eastAsia"/>
          <w:color w:val="auto"/>
          <w:sz w:val="22"/>
          <w:u w:val="none" w:color="auto"/>
        </w:rPr>
        <w:t>　栽培管理</w:t>
      </w:r>
    </w:p>
    <w:p>
      <w:pPr>
        <w:pStyle w:val="0"/>
        <w:wordWrap w:val="1"/>
        <w:spacing w:line="310" w:lineRule="exact"/>
        <w:ind w:left="720" w:leftChars="400" w:firstLine="200" w:firstLineChars="100"/>
        <w:rPr>
          <w:rFonts w:hint="default"/>
          <w:color w:val="auto"/>
          <w:sz w:val="22"/>
          <w:u w:val="none" w:color="auto"/>
        </w:rPr>
      </w:pPr>
      <w:r>
        <w:rPr>
          <w:rFonts w:hint="eastAsia"/>
          <w:color w:val="auto"/>
          <w:sz w:val="22"/>
          <w:u w:val="none" w:color="auto"/>
        </w:rPr>
        <w:t>各地域の慣行栽培法及び調査に用いる品種に適すると認められる栽培法とし、ほ場の栽培管理については、選定した農家に委託する。なお、調査に必要な種苗は農業技術センターが配布する。</w:t>
      </w:r>
    </w:p>
    <w:p>
      <w:pPr>
        <w:pStyle w:val="0"/>
        <w:wordWrap w:val="1"/>
        <w:spacing w:line="310" w:lineRule="exact"/>
        <w:ind w:firstLine="460" w:firstLineChars="200"/>
        <w:rPr>
          <w:rFonts w:hint="default"/>
          <w:color w:val="auto"/>
          <w:sz w:val="22"/>
          <w:u w:val="none" w:color="auto"/>
        </w:rPr>
      </w:pPr>
      <w:r>
        <w:rPr>
          <w:rFonts w:hint="eastAsia"/>
          <w:color w:val="auto"/>
          <w:sz w:val="22"/>
          <w:u w:val="none" w:color="auto"/>
        </w:rPr>
        <w:t>(4)</w:t>
      </w:r>
      <w:r>
        <w:rPr>
          <w:rFonts w:hint="eastAsia"/>
          <w:color w:val="auto"/>
          <w:sz w:val="22"/>
          <w:u w:val="none" w:color="auto"/>
        </w:rPr>
        <w:t>　調査方法</w:t>
      </w:r>
    </w:p>
    <w:p>
      <w:pPr>
        <w:pStyle w:val="0"/>
        <w:wordWrap w:val="1"/>
        <w:spacing w:line="310" w:lineRule="exact"/>
        <w:ind w:firstLine="1150" w:firstLineChars="500"/>
        <w:rPr>
          <w:rFonts w:hint="default"/>
          <w:color w:val="auto"/>
          <w:sz w:val="22"/>
          <w:u w:val="none" w:color="auto"/>
        </w:rPr>
      </w:pPr>
      <w:r>
        <w:rPr>
          <w:rFonts w:hint="eastAsia"/>
          <w:color w:val="auto"/>
          <w:sz w:val="22"/>
          <w:u w:val="none" w:color="auto"/>
        </w:rPr>
        <w:t>調査方法は別表のとおりとする。</w:t>
      </w:r>
    </w:p>
    <w:p>
      <w:pPr>
        <w:pStyle w:val="0"/>
        <w:wordWrap w:val="1"/>
        <w:spacing w:line="310" w:lineRule="exact"/>
        <w:rPr>
          <w:rFonts w:hint="default"/>
          <w:color w:val="auto"/>
          <w:sz w:val="22"/>
          <w:u w:val="none" w:color="auto"/>
        </w:rPr>
      </w:pPr>
    </w:p>
    <w:p>
      <w:pPr>
        <w:pStyle w:val="0"/>
        <w:wordWrap w:val="1"/>
        <w:spacing w:line="310" w:lineRule="exact"/>
        <w:rPr>
          <w:rFonts w:hint="default"/>
          <w:color w:val="auto"/>
          <w:sz w:val="22"/>
          <w:u w:val="none" w:color="auto"/>
        </w:rPr>
      </w:pPr>
      <w:r>
        <w:rPr>
          <w:rFonts w:hint="eastAsia"/>
          <w:color w:val="auto"/>
          <w:sz w:val="22"/>
          <w:u w:val="none" w:color="auto"/>
        </w:rPr>
        <w:t>第</w:t>
      </w:r>
      <w:r>
        <w:rPr>
          <w:rFonts w:hint="eastAsia"/>
          <w:color w:val="auto"/>
          <w:sz w:val="22"/>
          <w:u w:val="none" w:color="auto"/>
        </w:rPr>
        <w:t>9</w:t>
      </w:r>
      <w:r>
        <w:rPr>
          <w:rFonts w:hint="eastAsia"/>
          <w:color w:val="auto"/>
          <w:sz w:val="22"/>
          <w:u w:val="none" w:color="auto"/>
        </w:rPr>
        <w:t>　現地調査の実施農家への謝金の支払い</w:t>
      </w:r>
    </w:p>
    <w:p>
      <w:pPr>
        <w:pStyle w:val="0"/>
        <w:wordWrap w:val="1"/>
        <w:spacing w:line="310" w:lineRule="exact"/>
        <w:ind w:left="440" w:leftChars="100" w:hanging="230" w:hangingChars="100"/>
        <w:rPr>
          <w:rFonts w:hint="default"/>
          <w:color w:val="auto"/>
          <w:sz w:val="22"/>
          <w:u w:val="none" w:color="auto"/>
        </w:rPr>
      </w:pPr>
      <w:r>
        <w:rPr>
          <w:rFonts w:hint="eastAsia"/>
          <w:color w:val="auto"/>
          <w:sz w:val="22"/>
          <w:u w:val="none" w:color="auto"/>
        </w:rPr>
        <w:t>1</w:t>
      </w:r>
      <w:r>
        <w:rPr>
          <w:rFonts w:hint="eastAsia"/>
          <w:color w:val="auto"/>
          <w:sz w:val="22"/>
          <w:u w:val="none" w:color="auto"/>
        </w:rPr>
        <w:t>　現地調査の実施農家は、ほ場への移植又は播種が終了するまでに農業改良普及課・所を通して農業技術センター所長あてに承諾書（様式１）を提出するものとする。</w:t>
      </w:r>
    </w:p>
    <w:p>
      <w:pPr>
        <w:pStyle w:val="0"/>
        <w:wordWrap w:val="1"/>
        <w:spacing w:line="310" w:lineRule="exact"/>
        <w:ind w:left="440" w:leftChars="100" w:hanging="230" w:hangingChars="100"/>
        <w:rPr>
          <w:rFonts w:hint="default"/>
          <w:color w:val="auto"/>
          <w:sz w:val="22"/>
          <w:u w:val="none" w:color="auto"/>
        </w:rPr>
      </w:pPr>
      <w:r>
        <w:rPr>
          <w:rFonts w:hint="eastAsia"/>
          <w:color w:val="auto"/>
          <w:sz w:val="22"/>
          <w:u w:val="none" w:color="auto"/>
        </w:rPr>
        <w:t>2</w:t>
      </w:r>
      <w:r>
        <w:rPr>
          <w:rFonts w:hint="eastAsia"/>
          <w:color w:val="auto"/>
          <w:sz w:val="22"/>
          <w:u w:val="none" w:color="auto"/>
        </w:rPr>
        <w:t>　農業技術センター所長は、調査終了後、実施農家に対して謝金を支払うものとする。</w:t>
      </w:r>
    </w:p>
    <w:p>
      <w:pPr>
        <w:pStyle w:val="0"/>
        <w:wordWrap w:val="1"/>
        <w:spacing w:line="310" w:lineRule="exact"/>
        <w:ind w:left="440" w:leftChars="100" w:hanging="230" w:hangingChars="100"/>
        <w:rPr>
          <w:rFonts w:hint="default"/>
          <w:color w:val="auto"/>
          <w:sz w:val="22"/>
          <w:u w:val="none" w:color="auto"/>
        </w:rPr>
      </w:pPr>
      <w:r>
        <w:rPr>
          <w:rFonts w:hint="eastAsia"/>
          <w:color w:val="auto"/>
          <w:sz w:val="22"/>
          <w:u w:val="none" w:color="auto"/>
        </w:rPr>
        <w:t>3</w:t>
      </w:r>
      <w:r>
        <w:rPr>
          <w:rFonts w:hint="eastAsia"/>
          <w:color w:val="auto"/>
          <w:sz w:val="22"/>
          <w:u w:val="none" w:color="auto"/>
        </w:rPr>
        <w:t>　実施農家への謝金の額は、別途定める。</w:t>
      </w:r>
    </w:p>
    <w:p>
      <w:pPr>
        <w:pStyle w:val="0"/>
        <w:wordWrap w:val="1"/>
        <w:spacing w:line="310" w:lineRule="exact"/>
        <w:rPr>
          <w:rFonts w:hint="default"/>
          <w:color w:val="auto"/>
          <w:sz w:val="22"/>
          <w:u w:val="none" w:color="auto"/>
        </w:rPr>
      </w:pPr>
    </w:p>
    <w:p>
      <w:pPr>
        <w:pStyle w:val="0"/>
        <w:wordWrap w:val="1"/>
        <w:autoSpaceDE w:val="0"/>
        <w:autoSpaceDN w:val="0"/>
        <w:spacing w:line="310" w:lineRule="exact"/>
        <w:rPr>
          <w:rFonts w:hint="default"/>
          <w:color w:val="auto"/>
          <w:sz w:val="22"/>
          <w:u w:val="none" w:color="auto"/>
        </w:rPr>
      </w:pPr>
      <w:r>
        <w:rPr>
          <w:rFonts w:hint="eastAsia"/>
          <w:color w:val="auto"/>
          <w:sz w:val="22"/>
          <w:u w:val="none" w:color="auto"/>
        </w:rPr>
        <w:t>第</w:t>
      </w:r>
      <w:r>
        <w:rPr>
          <w:rFonts w:hint="eastAsia"/>
          <w:color w:val="auto"/>
          <w:sz w:val="22"/>
          <w:u w:val="none" w:color="auto"/>
        </w:rPr>
        <w:t>10</w:t>
      </w:r>
      <w:r>
        <w:rPr>
          <w:rFonts w:hint="eastAsia"/>
          <w:color w:val="auto"/>
          <w:sz w:val="22"/>
          <w:u w:val="none" w:color="auto"/>
        </w:rPr>
        <w:t>　現地調査における種苗及び生産物の取扱い</w:t>
      </w:r>
    </w:p>
    <w:p>
      <w:pPr>
        <w:pStyle w:val="0"/>
        <w:wordWrap w:val="1"/>
        <w:spacing w:line="310" w:lineRule="exact"/>
        <w:ind w:firstLine="460" w:firstLineChars="200"/>
        <w:rPr>
          <w:rFonts w:hint="default"/>
          <w:color w:val="auto"/>
          <w:sz w:val="22"/>
          <w:u w:val="none" w:color="auto"/>
        </w:rPr>
      </w:pPr>
      <w:r>
        <w:rPr>
          <w:rFonts w:hint="eastAsia"/>
          <w:color w:val="auto"/>
          <w:sz w:val="22"/>
          <w:u w:val="none" w:color="auto"/>
        </w:rPr>
        <w:t>現地調査の実施農家は次の事項を遵守する。</w:t>
      </w:r>
    </w:p>
    <w:p>
      <w:pPr>
        <w:pStyle w:val="0"/>
        <w:wordWrap w:val="1"/>
        <w:adjustRightInd w:val="1"/>
        <w:spacing w:line="310" w:lineRule="exact"/>
        <w:ind w:firstLine="230" w:firstLineChars="100"/>
        <w:rPr>
          <w:rFonts w:hint="default"/>
          <w:color w:val="auto"/>
          <w:spacing w:val="38"/>
          <w:sz w:val="22"/>
          <w:u w:val="none" w:color="auto"/>
        </w:rPr>
      </w:pPr>
      <w:r>
        <w:rPr>
          <w:rFonts w:hint="eastAsia"/>
          <w:color w:val="auto"/>
          <w:sz w:val="22"/>
          <w:u w:val="none" w:color="auto"/>
        </w:rPr>
        <w:t>1</w:t>
      </w:r>
      <w:r>
        <w:rPr>
          <w:rFonts w:hint="eastAsia"/>
          <w:color w:val="auto"/>
          <w:sz w:val="22"/>
          <w:u w:val="none" w:color="auto"/>
        </w:rPr>
        <w:t>　配布された種苗の増殖や他者への譲渡をしないこと。</w:t>
      </w:r>
    </w:p>
    <w:p>
      <w:pPr>
        <w:pStyle w:val="0"/>
        <w:wordWrap w:val="1"/>
        <w:adjustRightInd w:val="1"/>
        <w:spacing w:line="310" w:lineRule="exact"/>
        <w:ind w:firstLine="230" w:firstLineChars="100"/>
        <w:rPr>
          <w:rFonts w:hint="default"/>
          <w:color w:val="auto"/>
          <w:spacing w:val="38"/>
          <w:sz w:val="22"/>
          <w:u w:val="none" w:color="auto"/>
        </w:rPr>
      </w:pPr>
      <w:r>
        <w:rPr>
          <w:rFonts w:hint="eastAsia"/>
          <w:color w:val="auto"/>
          <w:sz w:val="22"/>
          <w:u w:val="none" w:color="auto"/>
        </w:rPr>
        <w:t>2</w:t>
      </w:r>
      <w:r>
        <w:rPr>
          <w:rFonts w:hint="eastAsia"/>
          <w:color w:val="auto"/>
          <w:sz w:val="22"/>
          <w:u w:val="none" w:color="auto"/>
        </w:rPr>
        <w:t>　生産物は廃棄すること。</w:t>
      </w:r>
    </w:p>
    <w:p>
      <w:pPr>
        <w:pStyle w:val="0"/>
        <w:wordWrap w:val="1"/>
        <w:spacing w:line="310" w:lineRule="exact"/>
        <w:rPr>
          <w:rFonts w:hint="default"/>
          <w:color w:val="auto"/>
          <w:sz w:val="22"/>
          <w:u w:val="none" w:color="auto"/>
        </w:rPr>
      </w:pPr>
    </w:p>
    <w:p>
      <w:pPr>
        <w:pStyle w:val="0"/>
        <w:wordWrap w:val="1"/>
        <w:autoSpaceDE w:val="0"/>
        <w:autoSpaceDN w:val="0"/>
        <w:spacing w:line="310" w:lineRule="exact"/>
        <w:rPr>
          <w:rFonts w:hint="default"/>
          <w:color w:val="auto"/>
          <w:sz w:val="22"/>
          <w:u w:val="none" w:color="auto"/>
        </w:rPr>
      </w:pPr>
      <w:r>
        <w:rPr>
          <w:rFonts w:hint="eastAsia"/>
          <w:color w:val="auto"/>
          <w:sz w:val="22"/>
          <w:u w:val="none" w:color="auto"/>
        </w:rPr>
        <w:t>第</w:t>
      </w:r>
      <w:r>
        <w:rPr>
          <w:rFonts w:hint="eastAsia"/>
          <w:color w:val="auto"/>
          <w:sz w:val="22"/>
          <w:u w:val="none" w:color="auto"/>
        </w:rPr>
        <w:t>11</w:t>
      </w:r>
      <w:r>
        <w:rPr>
          <w:rFonts w:hint="eastAsia"/>
          <w:color w:val="auto"/>
          <w:sz w:val="22"/>
          <w:u w:val="none" w:color="auto"/>
        </w:rPr>
        <w:t>　調査成績の報告ととりまとめ</w:t>
      </w:r>
    </w:p>
    <w:p>
      <w:pPr>
        <w:pStyle w:val="0"/>
        <w:wordWrap w:val="1"/>
        <w:spacing w:line="310" w:lineRule="exact"/>
        <w:ind w:left="450" w:leftChars="105" w:hanging="230" w:hangingChars="100"/>
        <w:rPr>
          <w:rFonts w:hint="default"/>
          <w:color w:val="auto"/>
          <w:sz w:val="22"/>
          <w:u w:val="none" w:color="auto"/>
        </w:rPr>
      </w:pPr>
      <w:r>
        <w:rPr>
          <w:rFonts w:hint="eastAsia"/>
          <w:color w:val="auto"/>
          <w:sz w:val="22"/>
          <w:u w:val="none" w:color="auto"/>
        </w:rPr>
        <w:t>1</w:t>
      </w:r>
      <w:r>
        <w:rPr>
          <w:rFonts w:hint="eastAsia"/>
          <w:color w:val="auto"/>
          <w:sz w:val="22"/>
          <w:u w:val="none" w:color="auto"/>
        </w:rPr>
        <w:t>　現地調査成績の報告</w:t>
      </w:r>
    </w:p>
    <w:p>
      <w:pPr>
        <w:pStyle w:val="0"/>
        <w:wordWrap w:val="1"/>
        <w:spacing w:line="310" w:lineRule="exact"/>
        <w:ind w:left="441" w:leftChars="210" w:firstLine="230" w:firstLineChars="100"/>
        <w:rPr>
          <w:rFonts w:hint="default"/>
          <w:color w:val="auto"/>
          <w:sz w:val="22"/>
          <w:u w:val="none" w:color="auto"/>
        </w:rPr>
      </w:pPr>
      <w:r>
        <w:rPr>
          <w:rFonts w:hint="eastAsia"/>
          <w:color w:val="auto"/>
          <w:sz w:val="22"/>
          <w:u w:val="none" w:color="auto"/>
        </w:rPr>
        <w:t>各農業振興センター所長及び農業改良普及所長は、次のとおり農業技術センター所長あてに現地調査成績を報告するものとする。</w:t>
      </w:r>
    </w:p>
    <w:p>
      <w:pPr>
        <w:pStyle w:val="0"/>
        <w:wordWrap w:val="1"/>
        <w:autoSpaceDE w:val="0"/>
        <w:autoSpaceDN w:val="0"/>
        <w:spacing w:line="310" w:lineRule="exact"/>
        <w:ind w:left="441" w:leftChars="210" w:firstLine="920" w:firstLineChars="400"/>
        <w:rPr>
          <w:rFonts w:hint="default"/>
          <w:color w:val="auto"/>
          <w:sz w:val="22"/>
          <w:u w:val="none" w:color="auto"/>
        </w:rPr>
      </w:pPr>
      <w:r>
        <w:rPr>
          <w:rFonts w:hint="eastAsia"/>
          <w:color w:val="auto"/>
          <w:sz w:val="22"/>
          <w:u w:val="none" w:color="auto"/>
        </w:rPr>
        <w:t>水陸稲　　　　　　　報告期限；当年の</w:t>
      </w:r>
      <w:r>
        <w:rPr>
          <w:rFonts w:hint="eastAsia"/>
          <w:color w:val="auto"/>
          <w:sz w:val="22"/>
          <w:u w:val="none" w:color="auto"/>
        </w:rPr>
        <w:t>12</w:t>
      </w:r>
      <w:r>
        <w:rPr>
          <w:rFonts w:hint="eastAsia"/>
          <w:color w:val="auto"/>
          <w:sz w:val="22"/>
          <w:u w:val="none" w:color="auto"/>
        </w:rPr>
        <w:t>月末日、報告様式；様式</w:t>
      </w:r>
      <w:r>
        <w:rPr>
          <w:rFonts w:hint="eastAsia"/>
          <w:color w:val="auto"/>
          <w:sz w:val="22"/>
          <w:u w:val="none" w:color="auto"/>
        </w:rPr>
        <w:t>2</w:t>
      </w:r>
    </w:p>
    <w:p>
      <w:pPr>
        <w:pStyle w:val="0"/>
        <w:wordWrap w:val="1"/>
        <w:autoSpaceDE w:val="0"/>
        <w:autoSpaceDN w:val="0"/>
        <w:spacing w:line="310" w:lineRule="exact"/>
        <w:ind w:left="441" w:leftChars="210" w:firstLine="920" w:firstLineChars="400"/>
        <w:rPr>
          <w:rFonts w:hint="default"/>
          <w:color w:val="auto"/>
          <w:sz w:val="22"/>
          <w:u w:val="none" w:color="auto"/>
        </w:rPr>
      </w:pPr>
      <w:r>
        <w:rPr>
          <w:rFonts w:hint="eastAsia"/>
          <w:color w:val="auto"/>
          <w:sz w:val="22"/>
          <w:u w:val="none" w:color="auto"/>
        </w:rPr>
        <w:t>麦類（春播き）　　　報告期限；当年の</w:t>
      </w:r>
      <w:r>
        <w:rPr>
          <w:rFonts w:hint="eastAsia"/>
          <w:color w:val="auto"/>
          <w:sz w:val="22"/>
          <w:u w:val="none" w:color="auto"/>
        </w:rPr>
        <w:t>12</w:t>
      </w:r>
      <w:r>
        <w:rPr>
          <w:rFonts w:hint="eastAsia"/>
          <w:color w:val="auto"/>
          <w:sz w:val="22"/>
          <w:u w:val="none" w:color="auto"/>
        </w:rPr>
        <w:t>月末日、報告様式；様式</w:t>
      </w:r>
      <w:r>
        <w:rPr>
          <w:rFonts w:hint="eastAsia"/>
          <w:color w:val="auto"/>
          <w:sz w:val="22"/>
          <w:u w:val="none" w:color="auto"/>
        </w:rPr>
        <w:t>3</w:t>
      </w:r>
    </w:p>
    <w:p>
      <w:pPr>
        <w:pStyle w:val="0"/>
        <w:wordWrap w:val="1"/>
        <w:autoSpaceDE w:val="0"/>
        <w:autoSpaceDN w:val="0"/>
        <w:spacing w:line="310" w:lineRule="exact"/>
        <w:ind w:left="441" w:leftChars="210" w:firstLine="920" w:firstLineChars="400"/>
        <w:rPr>
          <w:rFonts w:hint="default"/>
          <w:color w:val="auto"/>
          <w:sz w:val="22"/>
          <w:u w:val="none" w:color="auto"/>
        </w:rPr>
      </w:pPr>
      <w:r>
        <w:rPr>
          <w:rFonts w:hint="eastAsia"/>
          <w:color w:val="auto"/>
          <w:sz w:val="22"/>
          <w:u w:val="none" w:color="auto"/>
        </w:rPr>
        <w:t>麦類（秋播き）　　　報告期限；翌年の</w:t>
      </w:r>
      <w:r>
        <w:rPr>
          <w:rFonts w:hint="eastAsia"/>
          <w:color w:val="auto"/>
          <w:sz w:val="22"/>
          <w:u w:val="none" w:color="auto"/>
        </w:rPr>
        <w:t xml:space="preserve"> 8</w:t>
      </w:r>
      <w:r>
        <w:rPr>
          <w:rFonts w:hint="eastAsia"/>
          <w:color w:val="auto"/>
          <w:sz w:val="22"/>
          <w:u w:val="none" w:color="auto"/>
        </w:rPr>
        <w:t>月末日、報告様式；様式</w:t>
      </w:r>
      <w:r>
        <w:rPr>
          <w:rFonts w:hint="eastAsia"/>
          <w:color w:val="auto"/>
          <w:sz w:val="22"/>
          <w:u w:val="none" w:color="auto"/>
        </w:rPr>
        <w:t>3</w:t>
      </w:r>
    </w:p>
    <w:p>
      <w:pPr>
        <w:pStyle w:val="0"/>
        <w:wordWrap w:val="1"/>
        <w:autoSpaceDE w:val="0"/>
        <w:autoSpaceDN w:val="0"/>
        <w:spacing w:line="310" w:lineRule="exact"/>
        <w:ind w:left="441" w:leftChars="210" w:firstLine="920" w:firstLineChars="400"/>
        <w:rPr>
          <w:rFonts w:hint="default"/>
          <w:color w:val="auto"/>
          <w:sz w:val="22"/>
          <w:u w:val="none" w:color="auto"/>
        </w:rPr>
      </w:pPr>
      <w:r>
        <w:rPr>
          <w:rFonts w:hint="eastAsia"/>
          <w:color w:val="auto"/>
          <w:sz w:val="22"/>
          <w:u w:val="none" w:color="auto"/>
        </w:rPr>
        <w:t>大豆　　　　　　　　報告期限；当年の</w:t>
      </w:r>
      <w:r>
        <w:rPr>
          <w:rFonts w:hint="eastAsia"/>
          <w:color w:val="auto"/>
          <w:sz w:val="22"/>
          <w:u w:val="none" w:color="auto"/>
        </w:rPr>
        <w:t>12</w:t>
      </w:r>
      <w:r>
        <w:rPr>
          <w:rFonts w:hint="eastAsia"/>
          <w:color w:val="auto"/>
          <w:sz w:val="22"/>
          <w:u w:val="none" w:color="auto"/>
        </w:rPr>
        <w:t>月末日、報告様式；様式</w:t>
      </w:r>
      <w:r>
        <w:rPr>
          <w:rFonts w:hint="eastAsia"/>
          <w:color w:val="auto"/>
          <w:sz w:val="22"/>
          <w:u w:val="none" w:color="auto"/>
        </w:rPr>
        <w:t>4</w:t>
      </w:r>
    </w:p>
    <w:p>
      <w:pPr>
        <w:pStyle w:val="0"/>
        <w:wordWrap w:val="1"/>
        <w:spacing w:line="310" w:lineRule="exact"/>
        <w:ind w:left="450" w:leftChars="105" w:hanging="230" w:hangingChars="100"/>
        <w:rPr>
          <w:rFonts w:hint="default"/>
          <w:color w:val="auto"/>
          <w:sz w:val="22"/>
          <w:u w:val="none" w:color="auto"/>
        </w:rPr>
      </w:pPr>
      <w:r>
        <w:rPr>
          <w:rFonts w:hint="eastAsia"/>
          <w:color w:val="auto"/>
          <w:sz w:val="22"/>
          <w:u w:val="none" w:color="auto"/>
        </w:rPr>
        <w:t>2</w:t>
      </w:r>
      <w:r>
        <w:rPr>
          <w:rFonts w:hint="eastAsia"/>
          <w:color w:val="auto"/>
          <w:sz w:val="22"/>
          <w:u w:val="none" w:color="auto"/>
        </w:rPr>
        <w:t>　調査のとりまとめ</w:t>
      </w:r>
    </w:p>
    <w:p>
      <w:pPr>
        <w:pStyle w:val="0"/>
        <w:wordWrap w:val="1"/>
        <w:spacing w:line="310" w:lineRule="exact"/>
        <w:ind w:left="441" w:leftChars="210" w:firstLine="230" w:firstLineChars="100"/>
        <w:rPr>
          <w:rFonts w:hint="default"/>
          <w:color w:val="auto"/>
          <w:sz w:val="22"/>
          <w:u w:val="none" w:color="auto"/>
        </w:rPr>
      </w:pPr>
      <w:r>
        <w:rPr>
          <w:rFonts w:hint="eastAsia"/>
          <w:color w:val="auto"/>
          <w:sz w:val="22"/>
          <w:u w:val="none" w:color="auto"/>
        </w:rPr>
        <w:t>調査成績は農業技術センターにおいて、とりまとめるものとする。</w:t>
      </w:r>
    </w:p>
    <w:p>
      <w:pPr>
        <w:pStyle w:val="0"/>
        <w:spacing w:line="310" w:lineRule="exact"/>
        <w:rPr>
          <w:rFonts w:hint="default"/>
          <w:color w:val="auto"/>
          <w:sz w:val="22"/>
          <w:u w:val="none" w:color="auto"/>
        </w:rPr>
      </w:pPr>
    </w:p>
    <w:p>
      <w:pPr>
        <w:pStyle w:val="0"/>
        <w:kinsoku w:val="0"/>
        <w:autoSpaceDE w:val="0"/>
        <w:autoSpaceDN w:val="0"/>
        <w:spacing w:line="310" w:lineRule="exact"/>
        <w:contextualSpacing w:val="1"/>
        <w:rPr>
          <w:rFonts w:hint="default"/>
          <w:color w:val="auto"/>
          <w:sz w:val="22"/>
          <w:u w:val="none" w:color="auto"/>
        </w:rPr>
      </w:pPr>
      <w:r>
        <w:rPr>
          <w:rFonts w:hint="eastAsia"/>
          <w:color w:val="auto"/>
          <w:spacing w:val="-10"/>
          <w:sz w:val="22"/>
          <w:u w:val="none" w:color="auto"/>
        </w:rPr>
        <w:t>附　則</w:t>
      </w:r>
    </w:p>
    <w:p>
      <w:pPr>
        <w:pStyle w:val="0"/>
        <w:autoSpaceDE w:val="0"/>
        <w:autoSpaceDN w:val="0"/>
        <w:adjustRightInd w:val="1"/>
        <w:spacing w:line="310" w:lineRule="exact"/>
        <w:rPr>
          <w:rFonts w:hint="default"/>
          <w:color w:val="auto"/>
          <w:sz w:val="22"/>
          <w:u w:val="none" w:color="auto"/>
        </w:rPr>
      </w:pPr>
      <w:r>
        <w:rPr>
          <w:rFonts w:hint="eastAsia"/>
          <w:color w:val="auto"/>
          <w:sz w:val="22"/>
          <w:u w:val="none" w:color="auto"/>
        </w:rPr>
        <w:t>　　この要領は、平成</w:t>
      </w:r>
      <w:r>
        <w:rPr>
          <w:rFonts w:hint="eastAsia"/>
          <w:color w:val="auto"/>
          <w:sz w:val="22"/>
          <w:u w:val="none" w:color="auto"/>
        </w:rPr>
        <w:t>27</w:t>
      </w:r>
      <w:r>
        <w:rPr>
          <w:rFonts w:hint="eastAsia"/>
          <w:color w:val="auto"/>
          <w:sz w:val="22"/>
          <w:u w:val="none" w:color="auto"/>
        </w:rPr>
        <w:t>年</w:t>
      </w:r>
      <w:r>
        <w:rPr>
          <w:rFonts w:hint="eastAsia"/>
          <w:color w:val="auto"/>
          <w:sz w:val="22"/>
          <w:u w:val="none" w:color="auto"/>
        </w:rPr>
        <w:t>4</w:t>
      </w:r>
      <w:r>
        <w:rPr>
          <w:rFonts w:hint="eastAsia"/>
          <w:color w:val="auto"/>
          <w:sz w:val="22"/>
          <w:u w:val="none" w:color="auto"/>
        </w:rPr>
        <w:t>月</w:t>
      </w:r>
      <w:r>
        <w:rPr>
          <w:rFonts w:hint="eastAsia"/>
          <w:color w:val="auto"/>
          <w:sz w:val="22"/>
          <w:u w:val="none" w:color="auto"/>
        </w:rPr>
        <w:t>1</w:t>
      </w:r>
      <w:r>
        <w:rPr>
          <w:rFonts w:hint="eastAsia"/>
          <w:color w:val="auto"/>
          <w:sz w:val="22"/>
          <w:u w:val="none" w:color="auto"/>
        </w:rPr>
        <w:t>日から施行する。</w:t>
      </w:r>
    </w:p>
    <w:p>
      <w:pPr>
        <w:pStyle w:val="0"/>
        <w:kinsoku w:val="0"/>
        <w:autoSpaceDE w:val="0"/>
        <w:autoSpaceDN w:val="0"/>
        <w:spacing w:line="310" w:lineRule="exact"/>
        <w:contextualSpacing w:val="1"/>
        <w:rPr>
          <w:rFonts w:hint="default"/>
          <w:color w:val="auto"/>
          <w:sz w:val="22"/>
          <w:u w:val="none" w:color="auto"/>
        </w:rPr>
      </w:pPr>
      <w:r>
        <w:rPr>
          <w:rFonts w:hint="eastAsia"/>
          <w:color w:val="auto"/>
          <w:spacing w:val="-10"/>
          <w:sz w:val="22"/>
          <w:u w:val="none" w:color="auto"/>
        </w:rPr>
        <w:t>附　則</w:t>
      </w:r>
    </w:p>
    <w:p>
      <w:pPr>
        <w:pStyle w:val="0"/>
        <w:autoSpaceDE w:val="0"/>
        <w:autoSpaceDN w:val="0"/>
        <w:adjustRightInd w:val="1"/>
        <w:spacing w:line="310" w:lineRule="exact"/>
        <w:rPr>
          <w:rFonts w:hint="default"/>
          <w:color w:val="auto"/>
          <w:sz w:val="22"/>
          <w:u w:val="none" w:color="auto"/>
        </w:rPr>
      </w:pPr>
      <w:r>
        <w:rPr>
          <w:rFonts w:hint="eastAsia"/>
          <w:color w:val="auto"/>
          <w:sz w:val="22"/>
          <w:u w:val="none" w:color="auto"/>
        </w:rPr>
        <w:t>　　この要領は、平成</w:t>
      </w:r>
      <w:r>
        <w:rPr>
          <w:rFonts w:hint="eastAsia"/>
          <w:color w:val="auto"/>
          <w:sz w:val="22"/>
          <w:u w:val="none" w:color="auto"/>
        </w:rPr>
        <w:t>30</w:t>
      </w:r>
      <w:r>
        <w:rPr>
          <w:rFonts w:hint="eastAsia"/>
          <w:color w:val="auto"/>
          <w:sz w:val="22"/>
          <w:u w:val="none" w:color="auto"/>
        </w:rPr>
        <w:t>年</w:t>
      </w:r>
      <w:r>
        <w:rPr>
          <w:rFonts w:hint="eastAsia"/>
          <w:color w:val="auto"/>
          <w:sz w:val="22"/>
          <w:u w:val="none" w:color="auto"/>
        </w:rPr>
        <w:t>4</w:t>
      </w:r>
      <w:r>
        <w:rPr>
          <w:rFonts w:hint="eastAsia"/>
          <w:color w:val="auto"/>
          <w:sz w:val="22"/>
          <w:u w:val="none" w:color="auto"/>
        </w:rPr>
        <w:t>月</w:t>
      </w:r>
      <w:r>
        <w:rPr>
          <w:rFonts w:hint="eastAsia"/>
          <w:color w:val="auto"/>
          <w:sz w:val="22"/>
          <w:u w:val="none" w:color="auto"/>
        </w:rPr>
        <w:t>1</w:t>
      </w:r>
      <w:r>
        <w:rPr>
          <w:rFonts w:hint="eastAsia"/>
          <w:color w:val="auto"/>
          <w:sz w:val="22"/>
          <w:u w:val="none" w:color="auto"/>
        </w:rPr>
        <w:t>日から施行する。</w:t>
      </w:r>
    </w:p>
    <w:p>
      <w:pPr>
        <w:pStyle w:val="0"/>
        <w:kinsoku w:val="0"/>
        <w:autoSpaceDE w:val="0"/>
        <w:autoSpaceDN w:val="0"/>
        <w:spacing w:line="310" w:lineRule="exact"/>
        <w:contextualSpacing w:val="1"/>
        <w:rPr>
          <w:rFonts w:hint="default"/>
          <w:color w:val="auto"/>
          <w:sz w:val="22"/>
          <w:u w:val="none" w:color="auto"/>
        </w:rPr>
      </w:pPr>
      <w:r>
        <w:rPr>
          <w:rFonts w:hint="eastAsia"/>
          <w:color w:val="auto"/>
          <w:spacing w:val="-10"/>
          <w:sz w:val="22"/>
          <w:u w:val="none" w:color="auto"/>
        </w:rPr>
        <w:t>附　則</w:t>
      </w:r>
    </w:p>
    <w:p>
      <w:pPr>
        <w:pStyle w:val="0"/>
        <w:autoSpaceDE w:val="0"/>
        <w:autoSpaceDN w:val="0"/>
        <w:adjustRightInd w:val="1"/>
        <w:spacing w:line="310" w:lineRule="exact"/>
        <w:rPr>
          <w:rFonts w:hint="default"/>
          <w:color w:val="auto"/>
          <w:sz w:val="22"/>
          <w:u w:val="none" w:color="auto"/>
        </w:rPr>
      </w:pPr>
      <w:r>
        <w:rPr>
          <w:rFonts w:hint="eastAsia"/>
          <w:color w:val="auto"/>
          <w:sz w:val="22"/>
          <w:u w:val="none" w:color="auto"/>
        </w:rPr>
        <w:t>　　</w:t>
      </w:r>
      <w:r>
        <w:rPr>
          <w:rFonts w:hint="eastAsia"/>
          <w:color w:val="FF0000"/>
          <w:sz w:val="22"/>
          <w:u w:val="none" w:color="auto"/>
        </w:rPr>
        <w:t>この要領は、令和</w:t>
      </w:r>
      <w:r>
        <w:rPr>
          <w:rFonts w:hint="eastAsia"/>
          <w:color w:val="FF0000"/>
          <w:sz w:val="22"/>
          <w:u w:val="none" w:color="auto"/>
        </w:rPr>
        <w:t>3</w:t>
      </w:r>
      <w:r>
        <w:rPr>
          <w:rFonts w:hint="eastAsia"/>
          <w:color w:val="FF0000"/>
          <w:sz w:val="22"/>
          <w:u w:val="none" w:color="auto"/>
        </w:rPr>
        <w:t>年</w:t>
      </w:r>
      <w:r>
        <w:rPr>
          <w:rFonts w:hint="eastAsia"/>
          <w:color w:val="FF0000"/>
          <w:sz w:val="22"/>
          <w:u w:val="none" w:color="auto"/>
        </w:rPr>
        <w:t>8</w:t>
      </w:r>
      <w:r>
        <w:rPr>
          <w:rFonts w:hint="eastAsia"/>
          <w:color w:val="FF0000"/>
          <w:sz w:val="22"/>
          <w:u w:val="none" w:color="auto"/>
        </w:rPr>
        <w:t>月</w:t>
      </w:r>
      <w:r>
        <w:rPr>
          <w:rFonts w:hint="eastAsia"/>
          <w:color w:val="FF0000"/>
          <w:sz w:val="22"/>
          <w:u w:val="none" w:color="auto"/>
        </w:rPr>
        <w:t>18</w:t>
      </w:r>
      <w:bookmarkStart w:id="0" w:name="_GoBack"/>
      <w:bookmarkEnd w:id="0"/>
      <w:r>
        <w:rPr>
          <w:rFonts w:hint="eastAsia"/>
          <w:color w:val="FF0000"/>
          <w:sz w:val="22"/>
          <w:u w:val="none" w:color="auto"/>
        </w:rPr>
        <w:t>日から施行する。</w:t>
      </w:r>
    </w:p>
    <w:p>
      <w:pPr>
        <w:pStyle w:val="0"/>
        <w:adjustRightInd w:val="1"/>
        <w:spacing w:line="310" w:lineRule="exact"/>
        <w:rPr>
          <w:rFonts w:hint="default"/>
          <w:color w:val="auto"/>
          <w:sz w:val="22"/>
        </w:rPr>
      </w:pPr>
    </w:p>
    <w:p>
      <w:pPr>
        <w:rPr>
          <w:rFonts w:hint="default"/>
          <w:color w:val="auto"/>
          <w:sz w:val="21"/>
        </w:rPr>
        <w:sectPr>
          <w:pgSz w:w="11906" w:h="16838"/>
          <w:pgMar w:top="1418" w:right="1417" w:bottom="1418" w:left="1417" w:header="720" w:footer="720" w:gutter="0"/>
          <w:cols w:space="720"/>
          <w:noEndnote w:val="1"/>
          <w:textDirection w:val="lrTb"/>
          <w:docGrid w:type="linesAndChars" w:linePitch="360" w:charSpace="2048"/>
        </w:sectPr>
      </w:pPr>
    </w:p>
    <w:p>
      <w:pPr>
        <w:pStyle w:val="0"/>
        <w:adjustRightInd w:val="1"/>
        <w:spacing w:line="340" w:lineRule="exact"/>
        <w:rPr>
          <w:rFonts w:hint="default"/>
          <w:color w:val="auto"/>
          <w:sz w:val="22"/>
        </w:rPr>
      </w:pPr>
      <w:r>
        <w:rPr>
          <w:rFonts w:hint="eastAsia"/>
          <w:color w:val="auto"/>
          <w:sz w:val="22"/>
        </w:rPr>
        <w:t>別表</w:t>
      </w:r>
    </w:p>
    <w:p>
      <w:pPr>
        <w:pStyle w:val="0"/>
        <w:jc w:val="center"/>
        <w:rPr>
          <w:rFonts w:hint="default"/>
          <w:color w:val="auto"/>
          <w:sz w:val="22"/>
        </w:rPr>
      </w:pPr>
      <w:r>
        <w:rPr>
          <w:rFonts w:hint="eastAsia"/>
          <w:color w:val="auto"/>
          <w:sz w:val="22"/>
        </w:rPr>
        <w:t>高知県主要農作物奨励品種決定調査の調査方法</w:t>
      </w:r>
    </w:p>
    <w:tbl>
      <w:tblPr>
        <w:tblStyle w:val="23"/>
        <w:tblW w:w="14325" w:type="dxa"/>
        <w:jc w:val="center"/>
        <w:tblInd w:w="0" w:type="dxa"/>
        <w:tblLayout w:type="fixed"/>
        <w:tblLook w:firstRow="1" w:lastRow="0" w:firstColumn="1" w:lastColumn="0" w:noHBand="0" w:noVBand="1" w:val="04A0"/>
      </w:tblPr>
      <w:tblGrid>
        <w:gridCol w:w="575"/>
        <w:gridCol w:w="851"/>
        <w:gridCol w:w="4678"/>
        <w:gridCol w:w="4677"/>
        <w:gridCol w:w="3544"/>
      </w:tblGrid>
      <w:tr>
        <w:trPr>
          <w:trHeight w:val="340" w:hRule="atLeast"/>
        </w:trPr>
        <w:tc>
          <w:tcPr>
            <w:tcW w:w="1426" w:type="dxa"/>
            <w:gridSpan w:val="2"/>
            <w:vMerge w:val="restart"/>
            <w:vAlign w:val="center"/>
          </w:tcPr>
          <w:p>
            <w:pPr>
              <w:pStyle w:val="0"/>
              <w:spacing w:line="240" w:lineRule="exact"/>
              <w:jc w:val="both"/>
              <w:rPr>
                <w:rFonts w:hint="default"/>
                <w:color w:val="auto"/>
                <w:sz w:val="21"/>
              </w:rPr>
            </w:pPr>
          </w:p>
        </w:tc>
        <w:tc>
          <w:tcPr>
            <w:tcW w:w="9355" w:type="dxa"/>
            <w:gridSpan w:val="2"/>
            <w:vAlign w:val="center"/>
          </w:tcPr>
          <w:p>
            <w:pPr>
              <w:pStyle w:val="0"/>
              <w:spacing w:line="240" w:lineRule="exact"/>
              <w:jc w:val="center"/>
              <w:rPr>
                <w:rFonts w:hint="default"/>
                <w:color w:val="auto"/>
                <w:sz w:val="21"/>
              </w:rPr>
            </w:pPr>
            <w:r>
              <w:rPr>
                <w:rFonts w:hint="eastAsia"/>
                <w:color w:val="auto"/>
                <w:sz w:val="21"/>
              </w:rPr>
              <w:t>基本調査</w:t>
            </w:r>
          </w:p>
        </w:tc>
        <w:tc>
          <w:tcPr>
            <w:tcW w:w="3544" w:type="dxa"/>
            <w:vMerge w:val="restart"/>
            <w:vAlign w:val="center"/>
          </w:tcPr>
          <w:p>
            <w:pPr>
              <w:pStyle w:val="0"/>
              <w:spacing w:line="240" w:lineRule="exact"/>
              <w:jc w:val="center"/>
              <w:rPr>
                <w:rFonts w:hint="default"/>
                <w:color w:val="auto"/>
                <w:sz w:val="21"/>
              </w:rPr>
            </w:pPr>
            <w:r>
              <w:rPr>
                <w:rFonts w:hint="eastAsia"/>
                <w:color w:val="auto"/>
                <w:sz w:val="21"/>
              </w:rPr>
              <w:t>現地調査</w:t>
            </w:r>
          </w:p>
        </w:tc>
      </w:tr>
      <w:tr>
        <w:trPr>
          <w:trHeight w:val="340" w:hRule="atLeast"/>
        </w:trPr>
        <w:tc>
          <w:tcPr>
            <w:tcW w:w="1426" w:type="dxa"/>
            <w:gridSpan w:val="2"/>
            <w:vMerge w:val="continue"/>
            <w:vAlign w:val="center"/>
          </w:tcPr>
          <w:p>
            <w:pPr>
              <w:pStyle w:val="0"/>
              <w:spacing w:line="240" w:lineRule="exact"/>
              <w:jc w:val="both"/>
              <w:rPr>
                <w:rFonts w:hint="default"/>
                <w:color w:val="auto"/>
                <w:sz w:val="21"/>
              </w:rPr>
            </w:pPr>
          </w:p>
        </w:tc>
        <w:tc>
          <w:tcPr>
            <w:tcW w:w="4678" w:type="dxa"/>
            <w:vAlign w:val="center"/>
          </w:tcPr>
          <w:p>
            <w:pPr>
              <w:pStyle w:val="0"/>
              <w:spacing w:line="240" w:lineRule="exact"/>
              <w:jc w:val="center"/>
              <w:rPr>
                <w:rFonts w:hint="default"/>
                <w:color w:val="auto"/>
                <w:sz w:val="21"/>
              </w:rPr>
            </w:pPr>
            <w:r>
              <w:rPr>
                <w:rFonts w:hint="eastAsia"/>
                <w:color w:val="auto"/>
                <w:sz w:val="21"/>
              </w:rPr>
              <w:t>予備調査</w:t>
            </w:r>
          </w:p>
        </w:tc>
        <w:tc>
          <w:tcPr>
            <w:tcW w:w="4677" w:type="dxa"/>
            <w:vAlign w:val="center"/>
          </w:tcPr>
          <w:p>
            <w:pPr>
              <w:pStyle w:val="0"/>
              <w:spacing w:line="240" w:lineRule="exact"/>
              <w:jc w:val="center"/>
              <w:rPr>
                <w:rFonts w:hint="default"/>
                <w:color w:val="auto"/>
                <w:sz w:val="21"/>
              </w:rPr>
            </w:pPr>
            <w:r>
              <w:rPr>
                <w:rFonts w:hint="eastAsia"/>
                <w:color w:val="auto"/>
                <w:sz w:val="21"/>
              </w:rPr>
              <w:t>本調査</w:t>
            </w:r>
          </w:p>
        </w:tc>
        <w:tc>
          <w:tcPr>
            <w:tcW w:w="3544" w:type="dxa"/>
            <w:vMerge w:val="continue"/>
            <w:vAlign w:val="center"/>
          </w:tcPr>
          <w:p>
            <w:pPr>
              <w:pStyle w:val="0"/>
              <w:spacing w:line="240" w:lineRule="exact"/>
              <w:jc w:val="center"/>
              <w:rPr>
                <w:rFonts w:hint="default"/>
                <w:color w:val="auto"/>
                <w:sz w:val="21"/>
              </w:rPr>
            </w:pPr>
          </w:p>
        </w:tc>
      </w:tr>
      <w:tr>
        <w:trPr/>
        <w:tc>
          <w:tcPr>
            <w:tcW w:w="1426" w:type="dxa"/>
            <w:gridSpan w:val="2"/>
            <w:vAlign w:val="center"/>
          </w:tcPr>
          <w:p>
            <w:pPr>
              <w:pStyle w:val="0"/>
              <w:spacing w:line="240" w:lineRule="exact"/>
              <w:jc w:val="center"/>
              <w:rPr>
                <w:rFonts w:hint="default"/>
                <w:color w:val="auto"/>
                <w:sz w:val="21"/>
              </w:rPr>
            </w:pPr>
            <w:r>
              <w:rPr>
                <w:rFonts w:hint="eastAsia"/>
                <w:color w:val="auto"/>
                <w:sz w:val="21"/>
              </w:rPr>
              <w:t>1</w:t>
            </w:r>
            <w:r>
              <w:rPr>
                <w:rFonts w:hint="eastAsia"/>
                <w:color w:val="auto"/>
                <w:sz w:val="21"/>
              </w:rPr>
              <w:t>区の面積</w:t>
            </w:r>
          </w:p>
          <w:p>
            <w:pPr>
              <w:pStyle w:val="0"/>
              <w:spacing w:line="240" w:lineRule="exact"/>
              <w:jc w:val="center"/>
              <w:rPr>
                <w:rFonts w:hint="default"/>
                <w:color w:val="auto"/>
                <w:sz w:val="21"/>
              </w:rPr>
            </w:pPr>
            <w:r>
              <w:rPr>
                <w:rFonts w:hint="eastAsia"/>
                <w:color w:val="auto"/>
                <w:sz w:val="21"/>
              </w:rPr>
              <w:t>及び区制</w:t>
            </w:r>
          </w:p>
        </w:tc>
        <w:tc>
          <w:tcPr>
            <w:tcW w:w="4678" w:type="dxa"/>
            <w:vAlign w:val="center"/>
          </w:tcPr>
          <w:p>
            <w:pPr>
              <w:pStyle w:val="0"/>
              <w:spacing w:line="240" w:lineRule="exact"/>
              <w:jc w:val="both"/>
              <w:rPr>
                <w:rFonts w:hint="default"/>
                <w:color w:val="auto"/>
                <w:sz w:val="21"/>
              </w:rPr>
            </w:pPr>
            <w:r>
              <w:rPr>
                <w:rFonts w:hint="eastAsia"/>
                <w:color w:val="auto"/>
                <w:sz w:val="21"/>
              </w:rPr>
              <w:t>1</w:t>
            </w:r>
            <w:r>
              <w:rPr>
                <w:rFonts w:hint="eastAsia"/>
                <w:color w:val="auto"/>
                <w:sz w:val="21"/>
              </w:rPr>
              <w:t>区</w:t>
            </w:r>
            <w:r>
              <w:rPr>
                <w:rFonts w:hint="eastAsia"/>
                <w:color w:val="auto"/>
                <w:sz w:val="21"/>
              </w:rPr>
              <w:t>6</w:t>
            </w:r>
            <w:r>
              <w:rPr>
                <w:rFonts w:hint="eastAsia"/>
                <w:color w:val="auto"/>
                <w:sz w:val="21"/>
              </w:rPr>
              <w:t>平方メートル以上</w:t>
            </w:r>
          </w:p>
          <w:p>
            <w:pPr>
              <w:pStyle w:val="0"/>
              <w:spacing w:line="240" w:lineRule="exact"/>
              <w:jc w:val="both"/>
              <w:rPr>
                <w:rFonts w:hint="default"/>
                <w:color w:val="auto"/>
                <w:sz w:val="21"/>
              </w:rPr>
            </w:pPr>
            <w:r>
              <w:rPr>
                <w:rFonts w:hint="eastAsia"/>
                <w:color w:val="auto"/>
                <w:sz w:val="21"/>
              </w:rPr>
              <w:t>2</w:t>
            </w:r>
            <w:r>
              <w:rPr>
                <w:rFonts w:hint="eastAsia"/>
                <w:color w:val="auto"/>
                <w:sz w:val="21"/>
              </w:rPr>
              <w:t>区制以上を標準とする</w:t>
            </w:r>
          </w:p>
        </w:tc>
        <w:tc>
          <w:tcPr>
            <w:tcW w:w="4677" w:type="dxa"/>
            <w:vAlign w:val="center"/>
          </w:tcPr>
          <w:p>
            <w:pPr>
              <w:pStyle w:val="0"/>
              <w:spacing w:line="240" w:lineRule="exact"/>
              <w:jc w:val="both"/>
              <w:rPr>
                <w:rFonts w:hint="default"/>
                <w:color w:val="auto"/>
                <w:sz w:val="21"/>
              </w:rPr>
            </w:pPr>
            <w:r>
              <w:rPr>
                <w:rFonts w:hint="eastAsia"/>
                <w:color w:val="auto"/>
                <w:sz w:val="21"/>
              </w:rPr>
              <w:t>予備調査に同じ</w:t>
            </w:r>
          </w:p>
        </w:tc>
        <w:tc>
          <w:tcPr>
            <w:tcW w:w="3544" w:type="dxa"/>
            <w:vAlign w:val="center"/>
          </w:tcPr>
          <w:p>
            <w:pPr>
              <w:pStyle w:val="0"/>
              <w:spacing w:line="240" w:lineRule="exact"/>
              <w:jc w:val="both"/>
              <w:rPr>
                <w:rFonts w:hint="default"/>
                <w:color w:val="auto"/>
                <w:sz w:val="21"/>
              </w:rPr>
            </w:pPr>
            <w:r>
              <w:rPr>
                <w:rFonts w:hint="eastAsia"/>
                <w:color w:val="auto"/>
                <w:sz w:val="21"/>
              </w:rPr>
              <w:t>1</w:t>
            </w:r>
            <w:r>
              <w:rPr>
                <w:rFonts w:hint="eastAsia"/>
                <w:color w:val="auto"/>
                <w:sz w:val="21"/>
              </w:rPr>
              <w:t>区</w:t>
            </w:r>
            <w:r>
              <w:rPr>
                <w:rFonts w:hint="eastAsia"/>
                <w:color w:val="auto"/>
                <w:sz w:val="21"/>
              </w:rPr>
              <w:t>10</w:t>
            </w:r>
            <w:r>
              <w:rPr>
                <w:rFonts w:hint="eastAsia"/>
                <w:color w:val="auto"/>
                <w:sz w:val="21"/>
              </w:rPr>
              <w:t>平方メートル</w:t>
            </w:r>
          </w:p>
          <w:p>
            <w:pPr>
              <w:pStyle w:val="0"/>
              <w:spacing w:line="240" w:lineRule="exact"/>
              <w:jc w:val="both"/>
              <w:rPr>
                <w:rFonts w:hint="default"/>
                <w:color w:val="auto"/>
                <w:sz w:val="21"/>
              </w:rPr>
            </w:pPr>
            <w:r>
              <w:rPr>
                <w:rFonts w:hint="eastAsia"/>
                <w:color w:val="auto"/>
                <w:sz w:val="21"/>
              </w:rPr>
              <w:t>1</w:t>
            </w:r>
            <w:r>
              <w:rPr>
                <w:rFonts w:hint="eastAsia"/>
                <w:color w:val="auto"/>
                <w:sz w:val="21"/>
              </w:rPr>
              <w:t>区制を標準とする</w:t>
            </w:r>
          </w:p>
        </w:tc>
      </w:tr>
      <w:tr>
        <w:trPr>
          <w:trHeight w:val="340" w:hRule="atLeast"/>
        </w:trPr>
        <w:tc>
          <w:tcPr>
            <w:tcW w:w="1426" w:type="dxa"/>
            <w:gridSpan w:val="2"/>
            <w:vAlign w:val="center"/>
          </w:tcPr>
          <w:p>
            <w:pPr>
              <w:pStyle w:val="0"/>
              <w:spacing w:line="240" w:lineRule="exact"/>
              <w:jc w:val="center"/>
              <w:rPr>
                <w:rFonts w:hint="default"/>
                <w:color w:val="auto"/>
                <w:sz w:val="21"/>
              </w:rPr>
            </w:pPr>
            <w:r>
              <w:rPr>
                <w:rFonts w:hint="eastAsia"/>
                <w:color w:val="auto"/>
                <w:sz w:val="21"/>
              </w:rPr>
              <w:t>対照品種</w:t>
            </w:r>
          </w:p>
        </w:tc>
        <w:tc>
          <w:tcPr>
            <w:tcW w:w="4678" w:type="dxa"/>
            <w:vAlign w:val="center"/>
          </w:tcPr>
          <w:p>
            <w:pPr>
              <w:pStyle w:val="0"/>
              <w:spacing w:line="240" w:lineRule="exact"/>
              <w:jc w:val="both"/>
              <w:rPr>
                <w:rFonts w:hint="default"/>
                <w:color w:val="auto"/>
                <w:sz w:val="21"/>
              </w:rPr>
            </w:pPr>
            <w:r>
              <w:rPr>
                <w:rFonts w:hint="eastAsia"/>
                <w:color w:val="auto"/>
                <w:sz w:val="21"/>
              </w:rPr>
              <w:t>高知県の奨励品種</w:t>
            </w:r>
          </w:p>
        </w:tc>
        <w:tc>
          <w:tcPr>
            <w:tcW w:w="4677" w:type="dxa"/>
            <w:vAlign w:val="center"/>
          </w:tcPr>
          <w:p>
            <w:pPr>
              <w:pStyle w:val="0"/>
              <w:spacing w:line="240" w:lineRule="exact"/>
              <w:jc w:val="both"/>
              <w:rPr>
                <w:rFonts w:hint="default"/>
                <w:color w:val="auto"/>
                <w:sz w:val="21"/>
              </w:rPr>
            </w:pPr>
            <w:r>
              <w:rPr>
                <w:rFonts w:hint="eastAsia"/>
                <w:color w:val="auto"/>
                <w:sz w:val="21"/>
              </w:rPr>
              <w:t>予備調査に同じ</w:t>
            </w:r>
          </w:p>
        </w:tc>
        <w:tc>
          <w:tcPr>
            <w:tcW w:w="3544" w:type="dxa"/>
            <w:vAlign w:val="center"/>
          </w:tcPr>
          <w:p>
            <w:pPr>
              <w:pStyle w:val="0"/>
              <w:spacing w:line="240" w:lineRule="exact"/>
              <w:jc w:val="both"/>
              <w:rPr>
                <w:rFonts w:hint="default"/>
                <w:color w:val="auto"/>
                <w:sz w:val="21"/>
              </w:rPr>
            </w:pPr>
            <w:r>
              <w:rPr>
                <w:rFonts w:hint="eastAsia"/>
                <w:color w:val="auto"/>
                <w:sz w:val="21"/>
              </w:rPr>
              <w:t>予備調査に同じ</w:t>
            </w:r>
          </w:p>
        </w:tc>
      </w:tr>
      <w:tr>
        <w:trPr/>
        <w:tc>
          <w:tcPr>
            <w:tcW w:w="575" w:type="dxa"/>
            <w:vMerge w:val="restart"/>
            <w:vAlign w:val="center"/>
          </w:tcPr>
          <w:p>
            <w:pPr>
              <w:pStyle w:val="0"/>
              <w:spacing w:line="240" w:lineRule="exact"/>
              <w:jc w:val="center"/>
              <w:rPr>
                <w:rFonts w:hint="default"/>
                <w:color w:val="auto"/>
                <w:sz w:val="21"/>
              </w:rPr>
            </w:pPr>
            <w:r>
              <w:rPr>
                <w:rFonts w:hint="eastAsia"/>
                <w:color w:val="auto"/>
                <w:sz w:val="21"/>
              </w:rPr>
              <w:t>調査項目</w:t>
            </w:r>
          </w:p>
        </w:tc>
        <w:tc>
          <w:tcPr>
            <w:tcW w:w="851" w:type="dxa"/>
            <w:vAlign w:val="center"/>
          </w:tcPr>
          <w:p>
            <w:pPr>
              <w:pStyle w:val="0"/>
              <w:spacing w:line="240" w:lineRule="exact"/>
              <w:jc w:val="center"/>
              <w:rPr>
                <w:rFonts w:hint="default"/>
                <w:color w:val="auto"/>
                <w:sz w:val="21"/>
              </w:rPr>
            </w:pPr>
            <w:r>
              <w:rPr>
                <w:rFonts w:hint="eastAsia"/>
                <w:color w:val="auto"/>
                <w:sz w:val="21"/>
              </w:rPr>
              <w:t>水陸稲</w:t>
            </w:r>
          </w:p>
        </w:tc>
        <w:tc>
          <w:tcPr>
            <w:tcW w:w="4678" w:type="dxa"/>
            <w:vAlign w:val="top"/>
          </w:tcPr>
          <w:p>
            <w:pPr>
              <w:pStyle w:val="0"/>
              <w:spacing w:line="240" w:lineRule="exact"/>
              <w:jc w:val="both"/>
              <w:rPr>
                <w:rFonts w:hint="default"/>
                <w:color w:val="auto"/>
              </w:rPr>
            </w:pPr>
            <w:r>
              <w:rPr>
                <w:rFonts w:hint="eastAsia"/>
                <w:color w:val="auto"/>
              </w:rPr>
              <w:t>苗の整否（移植時）、草丈（最高分げつ期）、茎数（最高分げつ期）、出穂期、成熟期、稈長、穂長、穂数、障害の種類及び多少、倒伏の多少、脱粒の難易、耐病性、穂発芽性、</w:t>
            </w:r>
            <w:r>
              <w:rPr>
                <w:rFonts w:hint="eastAsia"/>
                <w:color w:val="auto"/>
              </w:rPr>
              <w:t>1</w:t>
            </w:r>
            <w:r>
              <w:rPr>
                <w:rFonts w:hint="eastAsia"/>
                <w:color w:val="auto"/>
              </w:rPr>
              <w:t>アール当たりの玄米の重量及び対照品種に対する比率、千粒の重量、タンパク質含有率、アミロース含有率、品質、検査等級、有望度（ただし、上記のうち草丈、茎数については選択項目とする）。</w:t>
            </w:r>
          </w:p>
        </w:tc>
        <w:tc>
          <w:tcPr>
            <w:tcW w:w="4677" w:type="dxa"/>
            <w:vAlign w:val="top"/>
          </w:tcPr>
          <w:p>
            <w:pPr>
              <w:pStyle w:val="0"/>
              <w:spacing w:line="240" w:lineRule="exact"/>
              <w:jc w:val="both"/>
              <w:rPr>
                <w:rFonts w:hint="default"/>
                <w:color w:val="auto"/>
              </w:rPr>
            </w:pPr>
            <w:r>
              <w:rPr>
                <w:rFonts w:hint="eastAsia"/>
                <w:color w:val="auto"/>
              </w:rPr>
              <w:t>予備調査の項目の他、次の項目を調査する（ただし環境変化の少ない項目は省略してもよい）。</w:t>
            </w:r>
          </w:p>
          <w:p>
            <w:pPr>
              <w:pStyle w:val="0"/>
              <w:spacing w:line="240" w:lineRule="exact"/>
              <w:jc w:val="both"/>
              <w:rPr>
                <w:rFonts w:hint="default"/>
                <w:color w:val="auto"/>
              </w:rPr>
            </w:pPr>
            <w:r>
              <w:rPr>
                <w:rFonts w:hint="eastAsia"/>
                <w:color w:val="auto"/>
              </w:rPr>
              <w:t>1</w:t>
            </w:r>
            <w:r>
              <w:rPr>
                <w:rFonts w:hint="eastAsia"/>
                <w:color w:val="auto"/>
              </w:rPr>
              <w:t>アール当たりの藁、精籾及び屑玄の重量、精籾及び玄米</w:t>
            </w:r>
            <w:r>
              <w:rPr>
                <w:rFonts w:hint="eastAsia"/>
                <w:color w:val="auto"/>
              </w:rPr>
              <w:t>1</w:t>
            </w:r>
            <w:r>
              <w:rPr>
                <w:rFonts w:hint="eastAsia"/>
                <w:color w:val="auto"/>
              </w:rPr>
              <w:t>リットル当たりの重量、整粒歩合、籾摺歩合、芒の長短、胴割の多少、粒色、粒の光沢、搗精歩合、粒の形状、食味、概評。</w:t>
            </w:r>
          </w:p>
        </w:tc>
        <w:tc>
          <w:tcPr>
            <w:tcW w:w="3544" w:type="dxa"/>
            <w:vAlign w:val="top"/>
          </w:tcPr>
          <w:p>
            <w:pPr>
              <w:pStyle w:val="0"/>
              <w:spacing w:line="240" w:lineRule="exact"/>
              <w:jc w:val="both"/>
              <w:rPr>
                <w:rFonts w:hint="default"/>
                <w:color w:val="auto"/>
              </w:rPr>
            </w:pPr>
            <w:r>
              <w:rPr>
                <w:rFonts w:hint="eastAsia"/>
                <w:color w:val="auto"/>
              </w:rPr>
              <w:t>苗の整否（移植時）、出穂期、成熟期、稈長、穂長、穂数、障害の種類及び多少、倒伏の多少、</w:t>
            </w:r>
            <w:r>
              <w:rPr>
                <w:rFonts w:hint="eastAsia"/>
                <w:color w:val="auto"/>
              </w:rPr>
              <w:t>1</w:t>
            </w:r>
            <w:r>
              <w:rPr>
                <w:rFonts w:hint="eastAsia"/>
                <w:color w:val="auto"/>
              </w:rPr>
              <w:t>アール当たりの精籾の重量、</w:t>
            </w:r>
            <w:r>
              <w:rPr>
                <w:rFonts w:hint="eastAsia"/>
                <w:color w:val="auto"/>
              </w:rPr>
              <w:t>1</w:t>
            </w:r>
            <w:r>
              <w:rPr>
                <w:rFonts w:hint="eastAsia"/>
                <w:color w:val="auto"/>
              </w:rPr>
              <w:t>アール当たりの玄米の重量及び対照品種に対する比率、千粒の重量、整粒歩合、タンパク質含有率、</w:t>
            </w:r>
            <w:r>
              <w:rPr>
                <w:rFonts w:hint="eastAsia"/>
                <w:color w:val="auto"/>
                <w:vertAlign w:val="superscript"/>
              </w:rPr>
              <w:t>※</w:t>
            </w:r>
            <w:r>
              <w:rPr>
                <w:rFonts w:hint="eastAsia"/>
                <w:color w:val="auto"/>
              </w:rPr>
              <w:t>アミロース含有率、品質、</w:t>
            </w:r>
            <w:r>
              <w:rPr>
                <w:rFonts w:hint="eastAsia"/>
                <w:color w:val="auto"/>
                <w:vertAlign w:val="superscript"/>
              </w:rPr>
              <w:t>※</w:t>
            </w:r>
            <w:r>
              <w:rPr>
                <w:rFonts w:hint="eastAsia"/>
                <w:color w:val="auto"/>
              </w:rPr>
              <w:t>検査等級、概評、判定。</w:t>
            </w:r>
          </w:p>
        </w:tc>
      </w:tr>
      <w:tr>
        <w:trPr/>
        <w:tc>
          <w:tcPr>
            <w:tcW w:w="575" w:type="dxa"/>
            <w:vMerge w:val="continue"/>
            <w:vAlign w:val="center"/>
          </w:tcPr>
          <w:p>
            <w:pPr>
              <w:pStyle w:val="0"/>
              <w:spacing w:line="240" w:lineRule="exact"/>
              <w:jc w:val="both"/>
              <w:rPr>
                <w:rFonts w:hint="default"/>
                <w:color w:val="auto"/>
                <w:sz w:val="21"/>
              </w:rPr>
            </w:pPr>
          </w:p>
        </w:tc>
        <w:tc>
          <w:tcPr>
            <w:tcW w:w="851" w:type="dxa"/>
            <w:vAlign w:val="center"/>
          </w:tcPr>
          <w:p>
            <w:pPr>
              <w:pStyle w:val="0"/>
              <w:spacing w:line="240" w:lineRule="exact"/>
              <w:jc w:val="center"/>
              <w:rPr>
                <w:rFonts w:hint="default"/>
                <w:color w:val="auto"/>
                <w:sz w:val="21"/>
              </w:rPr>
            </w:pPr>
            <w:r>
              <w:rPr>
                <w:rFonts w:hint="eastAsia"/>
                <w:color w:val="auto"/>
                <w:sz w:val="21"/>
              </w:rPr>
              <w:t>麦類</w:t>
            </w:r>
          </w:p>
        </w:tc>
        <w:tc>
          <w:tcPr>
            <w:tcW w:w="4678" w:type="dxa"/>
            <w:vAlign w:val="top"/>
          </w:tcPr>
          <w:p>
            <w:pPr>
              <w:pStyle w:val="0"/>
              <w:spacing w:line="240" w:lineRule="exact"/>
              <w:jc w:val="both"/>
              <w:rPr>
                <w:rFonts w:hint="default"/>
                <w:color w:val="auto"/>
              </w:rPr>
            </w:pPr>
            <w:r>
              <w:rPr>
                <w:rFonts w:hint="eastAsia"/>
                <w:color w:val="auto"/>
              </w:rPr>
              <w:t>発芽の良否、出穂期、成熟期、稈長、穂長、穂数、障害の種類及び多少、株の開閉、倒伏の多少、</w:t>
            </w:r>
            <w:r>
              <w:rPr>
                <w:rFonts w:hint="eastAsia"/>
                <w:color w:val="auto"/>
              </w:rPr>
              <w:t>1</w:t>
            </w:r>
            <w:r>
              <w:rPr>
                <w:rFonts w:hint="eastAsia"/>
                <w:color w:val="auto"/>
              </w:rPr>
              <w:t>アール当たりの子実の重量及び対照品種に対する比率、千粒の重量、粒質、品質、検査等級、有望度。</w:t>
            </w:r>
          </w:p>
        </w:tc>
        <w:tc>
          <w:tcPr>
            <w:tcW w:w="4677" w:type="dxa"/>
            <w:vAlign w:val="top"/>
          </w:tcPr>
          <w:p>
            <w:pPr>
              <w:pStyle w:val="0"/>
              <w:spacing w:line="240" w:lineRule="exact"/>
              <w:jc w:val="both"/>
              <w:rPr>
                <w:rFonts w:hint="default"/>
                <w:color w:val="auto"/>
              </w:rPr>
            </w:pPr>
            <w:r>
              <w:rPr>
                <w:rFonts w:hint="eastAsia"/>
                <w:color w:val="auto"/>
              </w:rPr>
              <w:t>予備調査の項目の他、次の項目を調査する（ただし環境変化の少ない項目は省略してもよい）。</w:t>
            </w:r>
          </w:p>
          <w:p>
            <w:pPr>
              <w:pStyle w:val="0"/>
              <w:spacing w:line="240" w:lineRule="exact"/>
              <w:jc w:val="both"/>
              <w:rPr>
                <w:rFonts w:hint="default"/>
                <w:color w:val="auto"/>
              </w:rPr>
            </w:pPr>
            <w:r>
              <w:rPr>
                <w:rFonts w:hint="eastAsia"/>
                <w:color w:val="auto"/>
              </w:rPr>
              <w:t>1</w:t>
            </w:r>
            <w:r>
              <w:rPr>
                <w:rFonts w:hint="eastAsia"/>
                <w:color w:val="auto"/>
              </w:rPr>
              <w:t>アール当たりの稈の重量、子実重歩合、</w:t>
            </w:r>
            <w:r>
              <w:rPr>
                <w:rFonts w:hint="eastAsia"/>
                <w:color w:val="auto"/>
              </w:rPr>
              <w:t>1</w:t>
            </w:r>
            <w:r>
              <w:rPr>
                <w:rFonts w:hint="eastAsia"/>
                <w:color w:val="auto"/>
              </w:rPr>
              <w:t>リットル当たりの子実の重量、屑粒重歩合、芒の多少、芒の長短、粒色、粒形、製粉（精麦）歩合、麸質歩合、概評。</w:t>
            </w:r>
          </w:p>
        </w:tc>
        <w:tc>
          <w:tcPr>
            <w:tcW w:w="3544" w:type="dxa"/>
            <w:vAlign w:val="top"/>
          </w:tcPr>
          <w:p>
            <w:pPr>
              <w:pStyle w:val="0"/>
              <w:spacing w:line="240" w:lineRule="exact"/>
              <w:jc w:val="both"/>
              <w:rPr>
                <w:rFonts w:hint="default"/>
                <w:color w:val="auto"/>
              </w:rPr>
            </w:pPr>
            <w:r>
              <w:rPr>
                <w:rFonts w:hint="eastAsia"/>
                <w:color w:val="auto"/>
              </w:rPr>
              <w:t>発芽の良否、出穂期、成熟期、稈長、穂長、穂数、障害の種類及び多少、倒伏の多少、</w:t>
            </w:r>
            <w:r>
              <w:rPr>
                <w:rFonts w:hint="eastAsia"/>
                <w:color w:val="auto"/>
              </w:rPr>
              <w:t>1</w:t>
            </w:r>
            <w:r>
              <w:rPr>
                <w:rFonts w:hint="eastAsia"/>
                <w:color w:val="auto"/>
              </w:rPr>
              <w:t>アール当たりの子実の重量及び対照品種に対する比率、千粒の重量、</w:t>
            </w:r>
            <w:r>
              <w:rPr>
                <w:rFonts w:hint="eastAsia"/>
                <w:color w:val="auto"/>
                <w:vertAlign w:val="superscript"/>
              </w:rPr>
              <w:t>※</w:t>
            </w:r>
            <w:r>
              <w:rPr>
                <w:rFonts w:hint="eastAsia"/>
                <w:color w:val="auto"/>
              </w:rPr>
              <w:t>品質概評、</w:t>
            </w:r>
            <w:r>
              <w:rPr>
                <w:rFonts w:hint="eastAsia"/>
                <w:color w:val="auto"/>
                <w:vertAlign w:val="superscript"/>
              </w:rPr>
              <w:t>※</w:t>
            </w:r>
            <w:r>
              <w:rPr>
                <w:rFonts w:hint="eastAsia"/>
                <w:color w:val="auto"/>
              </w:rPr>
              <w:t>検査等級、概評、判定。</w:t>
            </w:r>
          </w:p>
        </w:tc>
      </w:tr>
      <w:tr>
        <w:trPr/>
        <w:tc>
          <w:tcPr>
            <w:tcW w:w="575" w:type="dxa"/>
            <w:vMerge w:val="continue"/>
            <w:vAlign w:val="center"/>
          </w:tcPr>
          <w:p>
            <w:pPr>
              <w:pStyle w:val="0"/>
              <w:spacing w:line="240" w:lineRule="exact"/>
              <w:jc w:val="both"/>
              <w:rPr>
                <w:rFonts w:hint="default"/>
                <w:color w:val="auto"/>
                <w:sz w:val="21"/>
              </w:rPr>
            </w:pPr>
          </w:p>
        </w:tc>
        <w:tc>
          <w:tcPr>
            <w:tcW w:w="851" w:type="dxa"/>
            <w:vAlign w:val="center"/>
          </w:tcPr>
          <w:p>
            <w:pPr>
              <w:pStyle w:val="0"/>
              <w:spacing w:line="240" w:lineRule="exact"/>
              <w:jc w:val="center"/>
              <w:rPr>
                <w:rFonts w:hint="default"/>
                <w:color w:val="auto"/>
                <w:sz w:val="21"/>
              </w:rPr>
            </w:pPr>
            <w:r>
              <w:rPr>
                <w:rFonts w:hint="eastAsia"/>
                <w:color w:val="auto"/>
                <w:sz w:val="21"/>
              </w:rPr>
              <w:t>大豆</w:t>
            </w:r>
          </w:p>
        </w:tc>
        <w:tc>
          <w:tcPr>
            <w:tcW w:w="4678" w:type="dxa"/>
            <w:vAlign w:val="top"/>
          </w:tcPr>
          <w:p>
            <w:pPr>
              <w:pStyle w:val="0"/>
              <w:spacing w:line="240" w:lineRule="exact"/>
              <w:jc w:val="both"/>
              <w:rPr>
                <w:rFonts w:hint="default"/>
                <w:color w:val="auto"/>
              </w:rPr>
            </w:pPr>
            <w:r>
              <w:rPr>
                <w:rFonts w:hint="eastAsia"/>
                <w:color w:val="auto"/>
              </w:rPr>
              <w:t>発芽の良否、開花期、成熟期、結実日数、主茎長、主茎節数、</w:t>
            </w:r>
            <w:r>
              <w:rPr>
                <w:rFonts w:hint="eastAsia"/>
                <w:color w:val="auto"/>
              </w:rPr>
              <w:t>1</w:t>
            </w:r>
            <w:r>
              <w:rPr>
                <w:rFonts w:hint="eastAsia"/>
                <w:color w:val="auto"/>
              </w:rPr>
              <w:t>株当たりの分枝数、莢数及び稔実莢数、最下着莢高、障害の種類及び多少、倒伏の多少、蔓化程度、草型、茎の細太、裂莢難易、青立ち程度、</w:t>
            </w:r>
            <w:r>
              <w:rPr>
                <w:rFonts w:hint="eastAsia"/>
                <w:color w:val="auto"/>
              </w:rPr>
              <w:t>1</w:t>
            </w:r>
            <w:r>
              <w:rPr>
                <w:rFonts w:hint="eastAsia"/>
                <w:color w:val="auto"/>
              </w:rPr>
              <w:t>アール当たりの全重量、</w:t>
            </w:r>
            <w:r>
              <w:rPr>
                <w:rFonts w:hint="eastAsia"/>
                <w:color w:val="auto"/>
              </w:rPr>
              <w:t>1</w:t>
            </w:r>
            <w:r>
              <w:rPr>
                <w:rFonts w:hint="eastAsia"/>
                <w:color w:val="auto"/>
              </w:rPr>
              <w:t>アール当たりの子実の重量及び対照品種に対する比率、子実重の歩合、屑重の歩合、</w:t>
            </w:r>
            <w:r>
              <w:rPr>
                <w:rFonts w:hint="eastAsia"/>
                <w:color w:val="auto"/>
              </w:rPr>
              <w:t>1</w:t>
            </w:r>
            <w:r>
              <w:rPr>
                <w:rFonts w:hint="eastAsia"/>
                <w:color w:val="auto"/>
              </w:rPr>
              <w:t>リットル当たりの子実の重量、百粒の重量、粒形、粒大、粒色、品質、検査等級、有望度。</w:t>
            </w:r>
          </w:p>
        </w:tc>
        <w:tc>
          <w:tcPr>
            <w:tcW w:w="4677" w:type="dxa"/>
            <w:vAlign w:val="top"/>
          </w:tcPr>
          <w:p>
            <w:pPr>
              <w:pStyle w:val="0"/>
              <w:spacing w:line="240" w:lineRule="exact"/>
              <w:jc w:val="both"/>
              <w:rPr>
                <w:rFonts w:hint="default"/>
                <w:color w:val="auto"/>
              </w:rPr>
            </w:pPr>
            <w:r>
              <w:rPr>
                <w:rFonts w:hint="eastAsia"/>
                <w:color w:val="auto"/>
              </w:rPr>
              <w:t>予備調査の項目に同じ（ただし環境変化の少ない項目は省略してもよい）。</w:t>
            </w:r>
          </w:p>
        </w:tc>
        <w:tc>
          <w:tcPr>
            <w:tcW w:w="3544" w:type="dxa"/>
            <w:vAlign w:val="top"/>
          </w:tcPr>
          <w:p>
            <w:pPr>
              <w:pStyle w:val="0"/>
              <w:spacing w:line="240" w:lineRule="exact"/>
              <w:rPr>
                <w:rFonts w:hint="default"/>
                <w:color w:val="auto"/>
              </w:rPr>
            </w:pPr>
            <w:r>
              <w:rPr>
                <w:rFonts w:hint="eastAsia"/>
                <w:color w:val="auto"/>
              </w:rPr>
              <w:t>発芽の良否、開花期、成熟期、主茎長、主茎節数、</w:t>
            </w:r>
            <w:r>
              <w:rPr>
                <w:rFonts w:hint="eastAsia"/>
                <w:color w:val="auto"/>
              </w:rPr>
              <w:t>1</w:t>
            </w:r>
            <w:r>
              <w:rPr>
                <w:rFonts w:hint="eastAsia"/>
                <w:color w:val="auto"/>
              </w:rPr>
              <w:t>株当たりの分枝数、莢数及び稔実莢数、最下着莢高、障害の種類及び多少、倒伏の多少、</w:t>
            </w:r>
            <w:r>
              <w:rPr>
                <w:rFonts w:hint="eastAsia"/>
                <w:color w:val="auto"/>
              </w:rPr>
              <w:t>1</w:t>
            </w:r>
            <w:r>
              <w:rPr>
                <w:rFonts w:hint="eastAsia"/>
                <w:color w:val="auto"/>
              </w:rPr>
              <w:t>アール当たりの子実の重量及び対照品種に対する比率、百粒の重量、</w:t>
            </w:r>
            <w:r>
              <w:rPr>
                <w:rFonts w:hint="eastAsia"/>
                <w:color w:val="auto"/>
                <w:vertAlign w:val="superscript"/>
              </w:rPr>
              <w:t>※</w:t>
            </w:r>
            <w:r>
              <w:rPr>
                <w:rFonts w:hint="eastAsia"/>
                <w:color w:val="auto"/>
              </w:rPr>
              <w:t>品質、</w:t>
            </w:r>
            <w:r>
              <w:rPr>
                <w:rFonts w:hint="eastAsia"/>
                <w:color w:val="auto"/>
                <w:vertAlign w:val="superscript"/>
              </w:rPr>
              <w:t>※</w:t>
            </w:r>
            <w:r>
              <w:rPr>
                <w:rFonts w:hint="eastAsia"/>
                <w:color w:val="auto"/>
              </w:rPr>
              <w:t>検査等級、概評、判定。</w:t>
            </w:r>
          </w:p>
        </w:tc>
      </w:tr>
      <w:tr>
        <w:trPr>
          <w:trHeight w:val="397" w:hRule="atLeast"/>
        </w:trPr>
        <w:tc>
          <w:tcPr>
            <w:tcW w:w="1426" w:type="dxa"/>
            <w:gridSpan w:val="2"/>
            <w:vAlign w:val="center"/>
          </w:tcPr>
          <w:p>
            <w:pPr>
              <w:pStyle w:val="0"/>
              <w:spacing w:line="240" w:lineRule="exact"/>
              <w:jc w:val="center"/>
              <w:rPr>
                <w:rFonts w:hint="default"/>
                <w:color w:val="auto"/>
                <w:sz w:val="21"/>
              </w:rPr>
            </w:pPr>
            <w:r>
              <w:rPr>
                <w:rFonts w:hint="eastAsia"/>
                <w:color w:val="auto"/>
                <w:sz w:val="21"/>
              </w:rPr>
              <w:t>調査年数</w:t>
            </w:r>
          </w:p>
        </w:tc>
        <w:tc>
          <w:tcPr>
            <w:tcW w:w="4678" w:type="dxa"/>
            <w:vAlign w:val="center"/>
          </w:tcPr>
          <w:p>
            <w:pPr>
              <w:pStyle w:val="0"/>
              <w:spacing w:line="240" w:lineRule="exact"/>
              <w:jc w:val="left"/>
              <w:rPr>
                <w:rFonts w:hint="default"/>
                <w:color w:val="auto"/>
              </w:rPr>
            </w:pPr>
            <w:r>
              <w:rPr>
                <w:rFonts w:hint="eastAsia"/>
                <w:color w:val="auto"/>
              </w:rPr>
              <w:t>適宜</w:t>
            </w:r>
          </w:p>
        </w:tc>
        <w:tc>
          <w:tcPr>
            <w:tcW w:w="4677" w:type="dxa"/>
            <w:vAlign w:val="center"/>
          </w:tcPr>
          <w:p>
            <w:pPr>
              <w:pStyle w:val="0"/>
              <w:spacing w:line="240" w:lineRule="exact"/>
              <w:jc w:val="left"/>
              <w:rPr>
                <w:rFonts w:hint="default"/>
                <w:color w:val="auto"/>
              </w:rPr>
            </w:pPr>
            <w:r>
              <w:rPr>
                <w:rFonts w:hint="eastAsia"/>
                <w:color w:val="auto"/>
              </w:rPr>
              <w:t>同一品種につき</w:t>
            </w:r>
            <w:r>
              <w:rPr>
                <w:rFonts w:hint="eastAsia"/>
                <w:color w:val="auto"/>
              </w:rPr>
              <w:t>2</w:t>
            </w:r>
            <w:r>
              <w:rPr>
                <w:rFonts w:hint="eastAsia"/>
                <w:color w:val="auto"/>
              </w:rPr>
              <w:t>カ年の継続調査を標準とする</w:t>
            </w:r>
          </w:p>
        </w:tc>
        <w:tc>
          <w:tcPr>
            <w:tcW w:w="3544" w:type="dxa"/>
            <w:vAlign w:val="center"/>
          </w:tcPr>
          <w:p>
            <w:pPr>
              <w:pStyle w:val="0"/>
              <w:spacing w:line="240" w:lineRule="exact"/>
              <w:jc w:val="left"/>
              <w:rPr>
                <w:rFonts w:hint="default"/>
                <w:color w:val="auto"/>
                <w:sz w:val="21"/>
              </w:rPr>
            </w:pPr>
            <w:r>
              <w:rPr>
                <w:rFonts w:hint="eastAsia"/>
                <w:color w:val="auto"/>
                <w:sz w:val="21"/>
              </w:rPr>
              <w:t>本調査に同じ</w:t>
            </w:r>
          </w:p>
        </w:tc>
      </w:tr>
    </w:tbl>
    <w:p>
      <w:pPr>
        <w:pStyle w:val="0"/>
        <w:spacing w:line="260" w:lineRule="exact"/>
        <w:rPr>
          <w:rFonts w:hint="default"/>
          <w:color w:val="auto"/>
        </w:rPr>
      </w:pPr>
      <w:r>
        <w:rPr>
          <w:rFonts w:hint="eastAsia"/>
          <w:color w:val="auto"/>
        </w:rPr>
        <w:t>注</w:t>
      </w:r>
      <w:r>
        <w:rPr>
          <w:rFonts w:hint="eastAsia"/>
          <w:color w:val="auto"/>
        </w:rPr>
        <w:t>1</w:t>
      </w:r>
      <w:r>
        <w:rPr>
          <w:rFonts w:hint="eastAsia"/>
          <w:color w:val="auto"/>
        </w:rPr>
        <w:t>：圃場の状況、耕種概要、気象及び生育の概要等、調査結果判定上、必要な事項についても調査する。</w:t>
      </w:r>
    </w:p>
    <w:p>
      <w:pPr>
        <w:pStyle w:val="0"/>
        <w:spacing w:line="260" w:lineRule="exact"/>
        <w:rPr>
          <w:rFonts w:hint="default"/>
          <w:color w:val="auto"/>
        </w:rPr>
      </w:pPr>
      <w:r>
        <w:rPr>
          <w:rFonts w:hint="eastAsia"/>
          <w:color w:val="auto"/>
        </w:rPr>
        <w:t>注</w:t>
      </w:r>
      <w:r>
        <w:rPr>
          <w:rFonts w:hint="eastAsia"/>
          <w:color w:val="auto"/>
        </w:rPr>
        <w:t>2</w:t>
      </w:r>
      <w:r>
        <w:rPr>
          <w:rFonts w:hint="eastAsia"/>
          <w:color w:val="auto"/>
        </w:rPr>
        <w:t>：基本調査においては、通常の栽培では発見し難い形質については、その特性判定上最も有利な方法で判定する。</w:t>
      </w:r>
    </w:p>
    <w:p>
      <w:pPr>
        <w:pStyle w:val="0"/>
        <w:spacing w:line="260" w:lineRule="exact"/>
        <w:rPr>
          <w:rFonts w:hint="default"/>
          <w:color w:val="auto"/>
        </w:rPr>
      </w:pPr>
      <w:r>
        <w:rPr>
          <w:rFonts w:hint="eastAsia"/>
          <w:color w:val="auto"/>
        </w:rPr>
        <w:t>注</w:t>
      </w:r>
      <w:r>
        <w:rPr>
          <w:rFonts w:hint="eastAsia"/>
          <w:color w:val="auto"/>
        </w:rPr>
        <w:t>3</w:t>
      </w:r>
      <w:r>
        <w:rPr>
          <w:rFonts w:hint="eastAsia"/>
          <w:color w:val="auto"/>
        </w:rPr>
        <w:t>：調査は普通作物調査基準平成元年</w:t>
      </w:r>
      <w:r>
        <w:rPr>
          <w:rFonts w:hint="eastAsia"/>
          <w:color w:val="auto"/>
        </w:rPr>
        <w:t>1</w:t>
      </w:r>
      <w:r>
        <w:rPr>
          <w:rFonts w:hint="eastAsia"/>
          <w:color w:val="auto"/>
        </w:rPr>
        <w:t>月に準じて行う。</w:t>
      </w:r>
    </w:p>
    <w:p>
      <w:pPr>
        <w:pStyle w:val="0"/>
        <w:spacing w:line="260" w:lineRule="exact"/>
        <w:rPr>
          <w:rFonts w:hint="default"/>
          <w:color w:val="auto"/>
        </w:rPr>
        <w:sectPr>
          <w:pgSz w:w="16838" w:h="11906" w:orient="landscape"/>
          <w:pgMar w:top="1418" w:right="1418" w:bottom="1134" w:left="1418" w:header="720" w:footer="720" w:gutter="0"/>
          <w:cols w:space="720"/>
          <w:noEndnote w:val="1"/>
          <w:textDirection w:val="lrTb"/>
          <w:docGrid w:type="linesAndChars" w:linePitch="229"/>
        </w:sectPr>
      </w:pPr>
      <w:r>
        <w:rPr>
          <w:rFonts w:hint="eastAsia"/>
          <w:color w:val="auto"/>
        </w:rPr>
        <w:t>注</w:t>
      </w:r>
      <w:r>
        <w:rPr>
          <w:rFonts w:hint="eastAsia"/>
          <w:color w:val="auto"/>
        </w:rPr>
        <w:t>4</w:t>
      </w:r>
      <w:r>
        <w:rPr>
          <w:rFonts w:hint="eastAsia"/>
          <w:color w:val="auto"/>
        </w:rPr>
        <w:t>：現地調査において※を付した項目は、関係機関の職員が協議し調査する。</w:t>
      </w:r>
    </w:p>
    <w:p>
      <w:pPr>
        <w:pStyle w:val="0"/>
        <w:adjustRightInd w:val="1"/>
        <w:rPr>
          <w:rFonts w:hint="default"/>
          <w:spacing w:val="2"/>
        </w:rPr>
      </w:pPr>
    </w:p>
    <w:sectPr>
      <w:pgSz w:w="11906" w:h="16838"/>
      <w:pgMar w:top="1134" w:right="850" w:bottom="1134" w:left="850" w:header="720" w:footer="720" w:gutter="0"/>
      <w:cols w:space="720"/>
      <w:noEndnote w:val="1"/>
      <w:textDirection w:val="lrTb"/>
      <w:docGrid w:type="linesAndChars" w:linePitch="363"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10"/>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231</TotalTime>
  <Pages>5</Pages>
  <Words>90</Words>
  <Characters>3713</Characters>
  <Application>JUST Note</Application>
  <Lines>739</Lines>
  <Paragraphs>119</Paragraphs>
  <Company>Hewlett-Packard Company</Company>
  <CharactersWithSpaces>3786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401034</cp:lastModifiedBy>
  <cp:lastPrinted>2021-08-11T02:26:45Z</cp:lastPrinted>
  <dcterms:created xsi:type="dcterms:W3CDTF">2015-11-03T03:04:00Z</dcterms:created>
  <dcterms:modified xsi:type="dcterms:W3CDTF">2021-08-11T04:44:44Z</dcterms:modified>
  <cp:revision>9</cp:revision>
</cp:coreProperties>
</file>