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8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-163830</wp:posOffset>
                </wp:positionV>
                <wp:extent cx="1295400" cy="247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ゴシック" w:hAnsi="ＭＳ ゴシック" w:eastAsia="ＭＳ ゴシック"/>
                                <w:sz w:val="23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3"/>
                              </w:rPr>
                              <w:t>（別紙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auto"/>
                                <w:sz w:val="23"/>
                                <w:u w:val="none" w:color="auto"/>
                              </w:rPr>
                              <w:t>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3"/>
                              </w:rPr>
                              <w:t>の２）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12.9pt;mso-position-vertical-relative:text;mso-position-horizontal-relative:text;position:absolute;height:19.5pt;width:102pt;margin-left:392.35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ゴシック" w:hAnsi="ＭＳ ゴシック" w:eastAsia="ＭＳ ゴシック"/>
                          <w:sz w:val="23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3"/>
                        </w:rPr>
                        <w:t>（別紙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auto"/>
                          <w:sz w:val="23"/>
                          <w:u w:val="none" w:color="auto"/>
                        </w:rPr>
                        <w:t>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3"/>
                        </w:rPr>
                        <w:t>の２）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color w:val="auto"/>
          <w:sz w:val="24"/>
          <w:u w:val="none" w:color="auto"/>
        </w:rPr>
        <w:t>要件等チェックリスト（介護支援部門）</w:t>
      </w: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u w:val="none" w:color="auto"/>
        </w:rPr>
        <w:t>要件に適合するものに○を記入してください。書類等で確認できない場合は対象となりません。</w:t>
      </w:r>
    </w:p>
    <w:tbl>
      <w:tblPr>
        <w:tblStyle w:val="11"/>
        <w:tblW w:w="10852" w:type="dxa"/>
        <w:jc w:val="left"/>
        <w:tblInd w:w="-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20"/>
        <w:gridCol w:w="720"/>
        <w:gridCol w:w="364"/>
        <w:gridCol w:w="5381"/>
        <w:gridCol w:w="3667"/>
      </w:tblGrid>
      <w:tr>
        <w:trPr>
          <w:trHeight w:val="3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申請者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6"/>
                <w:u w:val="none" w:color="auto"/>
              </w:rPr>
              <w:t>県確認</w:t>
            </w:r>
          </w:p>
        </w:tc>
        <w:tc>
          <w:tcPr>
            <w:tcW w:w="57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要　　件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添付書類</w:t>
            </w:r>
          </w:p>
        </w:tc>
      </w:tr>
      <w:tr>
        <w:trPr>
          <w:trHeight w:val="31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7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５年以内において、１か月以上の介護休業取得者の実績があり、かつ取得者が申請時に復職し、現に勤務していること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※分割取得した場合は合計した取得日数とする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b w:val="1"/>
                <w:color w:val="auto"/>
                <w:kern w:val="2"/>
                <w:u w:val="none" w:color="auto"/>
              </w:rPr>
              <w:t>※更新時は不要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　【５年以内の実績】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　・介護休業取得者（１か月以上）…（　　　　）人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・介護休業取得者１名分の①及び②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①介護休業給付金支給決定通知書（被保険者通知用）全期間分又は介護休業給付次回支給申請日指定通知書（事業主通知用）全期間分　いずれかの写し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②介護休業期間中（直前直後含む）及び申請日の直近のタイムカードまたは出勤簿の写し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※①がない場合は、参考様式３（出勤状況報告書）でも可</w:t>
            </w:r>
          </w:p>
        </w:tc>
      </w:tr>
      <w:tr>
        <w:trPr>
          <w:trHeight w:val="35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64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3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いずれかの取組を行っている</w:t>
            </w:r>
          </w:p>
        </w:tc>
        <w:tc>
          <w:tcPr>
            <w:tcW w:w="3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</w:tr>
      <w:tr>
        <w:trPr>
          <w:trHeight w:val="98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6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ア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法を上回る介護休業制度の設置</w:t>
            </w:r>
          </w:p>
          <w:p>
            <w:pPr>
              <w:pStyle w:val="0"/>
              <w:widowControl w:val="0"/>
              <w:ind w:left="0" w:leftChars="0" w:firstLine="0" w:firstLineChars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例）４回以上の分割取得ができる、日数が</w:t>
            </w: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93</w:t>
            </w: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日より多い　など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・就業規則等の該当箇所の写し</w:t>
            </w:r>
          </w:p>
        </w:tc>
      </w:tr>
      <w:tr>
        <w:trPr>
          <w:trHeight w:val="101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6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イ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法を上回る介護休暇制度の設置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例）年５日より日数が多い　など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・就業規則等の該当箇所の写し</w:t>
            </w:r>
          </w:p>
        </w:tc>
      </w:tr>
      <w:tr>
        <w:trPr/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6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ウ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法を上回る介護のための勤務時間の短縮等の制度の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設置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例）短時間勤務制度やフレックスタイム制、始業終業時間の繰</w:t>
            </w:r>
          </w:p>
          <w:p>
            <w:pPr>
              <w:pStyle w:val="0"/>
              <w:widowControl w:val="0"/>
              <w:ind w:left="200" w:leftChars="100" w:firstLine="0" w:firstLineChars="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上げ繰下げ措置などから複数の制度が利用できる</w:t>
            </w:r>
          </w:p>
          <w:p>
            <w:pPr>
              <w:pStyle w:val="0"/>
              <w:widowControl w:val="0"/>
              <w:ind w:leftChars="0" w:firstLineChars="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例）制度を利用できる期間が３年より長い　など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・就業規則等の該当箇所の写し</w:t>
            </w:r>
          </w:p>
        </w:tc>
      </w:tr>
      <w:tr>
        <w:trPr/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36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エ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color w:val="auto"/>
                <w:u w:val="none" w:color="auto"/>
              </w:rPr>
              <w:t>テレワークの導入</w:t>
            </w:r>
          </w:p>
          <w:p>
            <w:pPr>
              <w:pStyle w:val="0"/>
              <w:ind w:left="360" w:hanging="360" w:hangingChars="20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8"/>
                <w:u w:val="none" w:color="auto"/>
              </w:rPr>
              <w:t>・テレワーク勤務規定の写し、社内に制度を周知した通知の写しなどテレワークを導入していることがわかるもの</w:t>
            </w:r>
          </w:p>
        </w:tc>
      </w:tr>
      <w:tr>
        <w:trPr>
          <w:trHeight w:val="7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6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position w:val="-3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オ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半日又は時間単位で使用できる年次有給休暇制度の設置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・就業規則等の該当箇所の写し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</w:tr>
      <w:tr>
        <w:trPr>
          <w:trHeight w:val="83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36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</w:p>
        </w:tc>
        <w:tc>
          <w:tcPr>
            <w:tcW w:w="5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auto"/>
                <w:kern w:val="2"/>
                <w:position w:val="-4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  <w:u w:val="none" w:color="auto"/>
              </w:rPr>
              <w:instrText>カ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その他介護支援に関する取組で効果があがっている</w:t>
            </w: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u w:val="none" w:color="auto"/>
              </w:rPr>
              <w:t>もの（　　　　　　　　　　　　　　　　　　　　　）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color w:val="auto"/>
                <w:kern w:val="2"/>
                <w:sz w:val="18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  <w:u w:val="none" w:color="auto"/>
              </w:rPr>
              <w:t>・取組内容と効果がわかるもの</w:t>
            </w:r>
          </w:p>
        </w:tc>
      </w:tr>
    </w:tbl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4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4"/>
          <w:u w:val="none" w:color="auto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22"/>
        </w:rPr>
      </w:pPr>
    </w:p>
    <w:sectPr>
      <w:pgSz w:w="11906" w:h="16838"/>
      <w:pgMar w:top="851" w:right="1247" w:bottom="851" w:left="1247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1</Pages>
  <Words>1</Words>
  <Characters>697</Characters>
  <Application>JUST Note</Application>
  <Lines>76</Lines>
  <Paragraphs>35</Paragraphs>
  <CharactersWithSpaces>730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503381</dc:creator>
  <cp:lastModifiedBy>503381</cp:lastModifiedBy>
  <cp:lastPrinted>2023-02-03T06:13:28Z</cp:lastPrinted>
  <dcterms:created xsi:type="dcterms:W3CDTF">2023-01-27T08:32:00Z</dcterms:created>
  <dcterms:modified xsi:type="dcterms:W3CDTF">2023-02-16T00:21:14Z</dcterms:modified>
  <cp:revision>1</cp:revision>
</cp:coreProperties>
</file>